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eastAsia="Times New Roman" w:cs="Times New Roman"/>
          <w:b w:val="false"/>
          <w:b w:val="false"/>
          <w:bCs w:val="false"/>
          <w:sz w:val="28"/>
          <w:szCs w:val="34"/>
          <w:lang w:val="ru-RU" w:eastAsia="ru-RU"/>
        </w:rPr>
      </w:pPr>
      <w:r>
        <w:rPr>
          <w:rFonts w:eastAsia="Times New Roman" w:cs="Times New Roman"/>
          <w:b w:val="false"/>
          <w:bCs w:val="false"/>
          <w:sz w:val="28"/>
          <w:szCs w:val="34"/>
          <w:lang w:val="ru-RU" w:eastAsia="ru-RU"/>
        </w:rPr>
        <w:t xml:space="preserve">                                                      </w:t>
      </w:r>
    </w:p>
    <w:p>
      <w:pPr>
        <w:pStyle w:val="Normal"/>
        <w:bidi w:val="0"/>
        <w:jc w:val="both"/>
        <w:rPr/>
      </w:pPr>
      <w:r>
        <w:rPr>
          <w:rFonts w:eastAsia="Times New Roman" w:cs="Times New Roman"/>
          <w:b w:val="false"/>
          <w:bCs w:val="false"/>
          <w:sz w:val="28"/>
          <w:szCs w:val="34"/>
          <w:lang w:val="ru-RU" w:eastAsia="ru-RU"/>
        </w:rPr>
        <w:t xml:space="preserve">                                                           </w:t>
      </w:r>
      <w:r>
        <w:rPr>
          <w:rFonts w:eastAsia="Times New Roman" w:cs="R;Times New Roman"/>
          <w:b w:val="false"/>
          <w:bCs w:val="false"/>
          <w:sz w:val="24"/>
          <w:szCs w:val="10"/>
          <w:lang w:val="ru-RU" w:eastAsia="ru-RU"/>
        </w:rPr>
        <w:drawing>
          <wp:inline distT="0" distB="0" distL="0" distR="0">
            <wp:extent cx="709930" cy="753110"/>
            <wp:effectExtent l="0" t="0" r="0" b="0"/>
            <wp:docPr id="1" name="Изображение9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9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2" t="-50" r="-62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eastAsia="Times New Roman" w:cs="R;Times New Roman"/>
          <w:sz w:val="10"/>
          <w:szCs w:val="10"/>
        </w:rPr>
      </w:pPr>
      <w:r>
        <w:rPr>
          <w:rFonts w:eastAsia="Times New Roman" w:cs="R;Times New Roman"/>
          <w:sz w:val="10"/>
          <w:szCs w:val="10"/>
        </w:rPr>
      </w:r>
    </w:p>
    <w:p>
      <w:pPr>
        <w:pStyle w:val="Normal"/>
        <w:jc w:val="center"/>
        <w:rPr>
          <w:rFonts w:ascii="Times New Roman" w:hAnsi="Times New Roman" w:eastAsia="Times New Roman" w:cs="R;Times New Roman"/>
          <w:b/>
          <w:b/>
          <w:sz w:val="36"/>
          <w:szCs w:val="36"/>
        </w:rPr>
      </w:pPr>
      <w:r>
        <w:rPr>
          <w:rFonts w:eastAsia="Times New Roman" w:cs="R;Times New Roman"/>
          <w:b/>
          <w:sz w:val="36"/>
          <w:szCs w:val="36"/>
        </w:rPr>
        <w:t xml:space="preserve">АДМИНИСТРАЦИЯ </w:t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eastAsia="Times New Roman" w:cs="R;Times New Roman"/>
          <w:b/>
          <w:sz w:val="36"/>
          <w:szCs w:val="36"/>
        </w:rPr>
        <w:t>ГОРОДА ОБОЯНИ</w:t>
      </w:r>
      <w:r>
        <w:rPr>
          <w:rFonts w:eastAsia="Times New Roman" w:cs="Times New Roman"/>
          <w:b/>
          <w:sz w:val="36"/>
          <w:szCs w:val="36"/>
        </w:rPr>
        <w:t xml:space="preserve">  КУРСКОЙ ОБЛАСТИ</w:t>
      </w:r>
    </w:p>
    <w:p>
      <w:pPr>
        <w:pStyle w:val="Normal"/>
        <w:rPr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  <w:u w:val="none"/>
        </w:rPr>
        <w:t xml:space="preserve">                                   </w:t>
      </w:r>
      <w:r>
        <w:rPr>
          <w:rFonts w:eastAsia="Times New Roman" w:cs="R;Times New Roman"/>
          <w:b/>
          <w:sz w:val="36"/>
          <w:szCs w:val="36"/>
          <w:u w:val="none"/>
        </w:rPr>
        <w:t>ПОСТАНОВЛЕНИЕ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 xml:space="preserve">   </w:t>
      </w:r>
    </w:p>
    <w:p>
      <w:pPr>
        <w:pStyle w:val="Normal"/>
        <w:rPr/>
      </w:pPr>
      <w:r>
        <w:rPr>
          <w:rFonts w:eastAsia="Times New Roman"/>
        </w:rPr>
        <w:t xml:space="preserve"> 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                               </w:t>
      </w:r>
      <w:r>
        <w:rPr>
          <w:rFonts w:eastAsia="Times New Roman" w:cs="Times New Roman"/>
          <w:b/>
          <w:sz w:val="28"/>
          <w:szCs w:val="28"/>
          <w:u w:val="none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u w:val="single"/>
          <w:lang w:val="ru-RU"/>
        </w:rPr>
        <w:t>11.04.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20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22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г.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                                                                                                        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№</w:t>
      </w:r>
      <w:r>
        <w:rPr>
          <w:rFonts w:eastAsia="Times New Roman" w:cs="Times New Roman"/>
          <w:b/>
          <w:bCs/>
          <w:sz w:val="28"/>
          <w:szCs w:val="28"/>
          <w:u w:val="none"/>
        </w:rPr>
        <w:t>196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Обоянь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города Обояни 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от  12.02.2016 г.  </w:t>
      </w:r>
      <w:r>
        <w:rPr>
          <w:rFonts w:eastAsia="Times New Roman"/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92 «О создании комиссии в Администрации города Обояни по распределению средств резервного фонда»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rFonts w:eastAsia="Times New Roman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  соответствии    с Федеральным   Законом   от 06.10.2013г № 131-ФЗ «Об общих принципах организации местного самоуправления в Российской Федерации  (с изменениями), статьей 81 Бюджетного кодекса Российской Федерации, и руководствуясь постановлением Администрации города Обояни Курской области от </w:t>
      </w:r>
      <w:r>
        <w:rPr>
          <w:sz w:val="28"/>
          <w:szCs w:val="28"/>
        </w:rPr>
        <w:t>09</w:t>
      </w:r>
      <w:r>
        <w:rPr>
          <w:sz w:val="28"/>
          <w:szCs w:val="28"/>
        </w:rPr>
        <w:t>.</w:t>
      </w:r>
      <w:r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152</w:t>
      </w:r>
      <w:r>
        <w:rPr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ru-RU"/>
        </w:rPr>
        <w:t>О</w:t>
      </w:r>
      <w:r>
        <w:rPr>
          <w:rFonts w:cs="Times New Roman"/>
          <w:sz w:val="28"/>
          <w:szCs w:val="28"/>
        </w:rPr>
        <w:t xml:space="preserve">б утверждении Порядка  формирования и использования бюджетных ассигнований резервного фонда Администрации города  Обояни </w:t>
      </w:r>
      <w:r>
        <w:rPr>
          <w:sz w:val="28"/>
          <w:szCs w:val="28"/>
        </w:rPr>
        <w:t xml:space="preserve">», Администрация города Обояни 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>ПОСТАНОВЛЯЕТ: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>
        <w:rPr>
          <w:sz w:val="28"/>
          <w:szCs w:val="28"/>
        </w:rPr>
        <w:t>1. Внести   измение в постановление  Администрации   города Обояни от 12.02.2016 года № 92 «О создании комиссии в Администрации города Обояни по распределению средств резервного фонда», приложение № 1 изложить в новой редакции.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>2</w:t>
      </w:r>
      <w:r>
        <w:rPr>
          <w:sz w:val="28"/>
          <w:szCs w:val="28"/>
        </w:rPr>
        <w:t xml:space="preserve">. Контроль  за  исполнением        настоящего   постановления   возложить  на  </w:t>
      </w:r>
      <w:r>
        <w:rPr>
          <w:rFonts w:eastAsia="Times New Roman" w:cs="Times New Roman"/>
          <w:iCs/>
          <w:color w:val="auto"/>
          <w:sz w:val="28"/>
          <w:szCs w:val="28"/>
          <w:lang w:val="ru-RU" w:eastAsia="zxx" w:bidi="ar-SA"/>
        </w:rPr>
        <w:t xml:space="preserve">начальника отдела планирования финансового обеспечения, бухгалтерского учета и отчетности Администрации города Обояни </w:t>
      </w:r>
      <w:r>
        <w:rPr>
          <w:rFonts w:eastAsia="Times New Roman" w:cs="Times New Roman"/>
          <w:b w:val="false"/>
          <w:bCs w:val="false"/>
          <w:iCs/>
          <w:color w:val="auto"/>
          <w:sz w:val="28"/>
          <w:szCs w:val="28"/>
          <w:lang w:val="ru-RU" w:eastAsia="zxx" w:bidi="ar-SA"/>
        </w:rPr>
        <w:t>Е.Ю. Бочарову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tabs>
          <w:tab w:val="clear" w:pos="706"/>
          <w:tab w:val="left" w:pos="570" w:leader="none"/>
        </w:tabs>
        <w:suppressAutoHyphens w:val="true"/>
        <w:kinsoku w:val="true"/>
        <w:overflowPunct w:val="true"/>
        <w:autoSpaceDE w:val="fals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со дня его подписания.</w:t>
      </w:r>
    </w:p>
    <w:p>
      <w:pPr>
        <w:pStyle w:val="Normal"/>
        <w:widowControl w:val="false"/>
        <w:tabs>
          <w:tab w:val="clear" w:pos="706"/>
          <w:tab w:val="left" w:pos="570" w:leader="none"/>
        </w:tabs>
        <w:suppressAutoHyphens w:val="true"/>
        <w:kinsoku w:val="true"/>
        <w:overflowPunct w:val="true"/>
        <w:autoSpaceDE w:val="fals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6"/>
          <w:tab w:val="left" w:pos="570" w:leader="none"/>
        </w:tabs>
        <w:suppressAutoHyphens w:val="true"/>
        <w:kinsoku w:val="true"/>
        <w:overflowPunct w:val="true"/>
        <w:autoSpaceDE w:val="fals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6"/>
          <w:tab w:val="left" w:pos="570" w:leader="none"/>
        </w:tabs>
        <w:suppressAutoHyphens w:val="true"/>
        <w:kinsoku w:val="true"/>
        <w:overflowPunct w:val="true"/>
        <w:autoSpaceDE w:val="fals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6"/>
          <w:tab w:val="left" w:pos="570" w:leader="none"/>
        </w:tabs>
        <w:suppressAutoHyphens w:val="true"/>
        <w:kinsoku w:val="true"/>
        <w:overflowPunct w:val="true"/>
        <w:autoSpaceDE w:val="fals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И.о. </w:t>
      </w:r>
      <w:r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города Обояни                                                                     </w:t>
      </w:r>
      <w:r>
        <w:rPr>
          <w:sz w:val="28"/>
          <w:szCs w:val="28"/>
          <w:lang w:val="ru-RU"/>
        </w:rPr>
        <w:t>В.В. Котляров</w:t>
      </w:r>
    </w:p>
    <w:p>
      <w:pPr>
        <w:pStyle w:val="Normal"/>
        <w:widowControl w:val="false"/>
        <w:tabs>
          <w:tab w:val="clear" w:pos="706"/>
          <w:tab w:val="left" w:pos="570" w:leader="none"/>
        </w:tabs>
        <w:suppressAutoHyphens w:val="true"/>
        <w:kinsoku w:val="true"/>
        <w:overflowPunct w:val="true"/>
        <w:autoSpaceDE w:val="fals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6"/>
          <w:tab w:val="left" w:pos="570" w:leader="none"/>
        </w:tabs>
        <w:suppressAutoHyphens w:val="true"/>
        <w:kinsoku w:val="true"/>
        <w:overflowPunct w:val="true"/>
        <w:autoSpaceDE w:val="fals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Бочарова Е.Ю.</w:t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8471412-19-52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Приложение №1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к постановлению</w:t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Администрации города Обояни</w:t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Курской области</w:t>
      </w:r>
    </w:p>
    <w:p>
      <w:pPr>
        <w:pStyle w:val="ConsPlus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11.04.</w:t>
      </w: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>22</w:t>
      </w:r>
      <w:r>
        <w:rPr>
          <w:rFonts w:cs="Times New Roman" w:ascii="Times New Roman" w:hAnsi="Times New Roman"/>
          <w:sz w:val="28"/>
          <w:szCs w:val="28"/>
        </w:rPr>
        <w:t xml:space="preserve">г.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196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Комиссия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распределению бюджетных средств резервного фонда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Администрации города Обояни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Локтионов А.А. - Глава города Обояни, председатель комиссии;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Котляров В.В.</w:t>
      </w:r>
      <w:r>
        <w:rPr>
          <w:sz w:val="28"/>
          <w:szCs w:val="28"/>
          <w:lang w:val="ru-RU"/>
        </w:rPr>
        <w:t xml:space="preserve">. -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отдела по управлению муниципальным имуществом и   земельным правоотношениям Администрации города Обояни</w:t>
      </w:r>
      <w:r>
        <w:rPr>
          <w:sz w:val="28"/>
          <w:szCs w:val="28"/>
        </w:rPr>
        <w:t>, заместитель председателя комиссии.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Члены комиссии: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Шапилов Е.Е.- </w:t>
      </w:r>
      <w:r>
        <w:rPr>
          <w:sz w:val="28"/>
          <w:szCs w:val="28"/>
          <w:lang w:val="ru-RU"/>
        </w:rPr>
        <w:t xml:space="preserve">начальник отдела строительства, ЖКХ и архитектуры </w:t>
      </w:r>
      <w:r>
        <w:rPr>
          <w:sz w:val="28"/>
          <w:szCs w:val="28"/>
        </w:rPr>
        <w:t xml:space="preserve"> Администрации города Обояни; 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Бочарова Е.Ю. - начальник отдела планирования финансового обеспечения, бухгалтерского учета и отчетности Администрации города Обояни;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Кузьминова Е.В. - консультант   отдела   планирования   финансового обеспечения, бухгалтерского учета и отчетности Администрации города Обояни;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Ч</w:t>
      </w:r>
      <w:r>
        <w:rPr>
          <w:sz w:val="28"/>
          <w:szCs w:val="28"/>
          <w:lang w:val="ru-RU"/>
        </w:rPr>
        <w:t>ернышова Н.В.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>ведущий</w:t>
      </w:r>
      <w:r>
        <w:rPr>
          <w:sz w:val="28"/>
          <w:szCs w:val="28"/>
          <w:lang w:val="ru-RU"/>
        </w:rPr>
        <w:t xml:space="preserve"> специалист-эксперт </w:t>
      </w:r>
      <w:r>
        <w:rPr>
          <w:sz w:val="28"/>
          <w:szCs w:val="28"/>
          <w:lang w:val="ru-RU"/>
        </w:rPr>
        <w:t>отдела организационно-методического и кадрового обеспечения</w:t>
      </w:r>
      <w:r>
        <w:rPr>
          <w:sz w:val="28"/>
          <w:szCs w:val="28"/>
          <w:lang w:val="ru-RU"/>
        </w:rPr>
        <w:t xml:space="preserve"> Администрации города Обояни</w:t>
      </w:r>
      <w:r>
        <w:rPr>
          <w:sz w:val="28"/>
          <w:szCs w:val="28"/>
        </w:rPr>
        <w:t>.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LibreOffice/7.0.4.2$Windows_X86_64 LibreOffice_project/dcf040e67528d9187c66b2379df5ea4407429775</Application>
  <AppVersion>15.0000</AppVersion>
  <Pages>2</Pages>
  <Words>268</Words>
  <Characters>1951</Characters>
  <CharactersWithSpaces>3224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2018-02-21T10:08:23Z</cp:lastPrinted>
  <dcterms:modified xsi:type="dcterms:W3CDTF">2022-05-11T15:29:38Z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