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 w:val="0"/>
        <w:spacing w:after="0" w:line="240" w:lineRule="auto"/>
        <w:ind w:left="34" w:firstLine="14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  <w:lang w:eastAsia="en-US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Предварительное согласование предоставления земельного участка»</w:t>
      </w:r>
    </w:p>
    <w:p>
      <w:pPr>
        <w:pStyle w:val="7"/>
        <w:widowControl w:val="0"/>
        <w:spacing w:after="0" w:line="240" w:lineRule="auto"/>
        <w:ind w:left="34" w:firstLine="142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/>
          <w:color w:val="000000" w:themeColor="text1"/>
          <w:sz w:val="28"/>
          <w:szCs w:val="28"/>
          <w:lang w:val="en-US" w:eastAsia="ru-RU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Федеральным законом  от 24.11.1995 №181-ФЗ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Федеральным законом от 18 июня 2001 года №78-ФЗ                                                            «О землеустройстве» («Российская газета», № 118-119, 23.06.2001);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Федеральным законом от 25 октября 2001 года №137-ФЗ                                      «О введении в действие Земельного кодекса Российской Федерации» («Российская газета», № 211-212, 30.10.2001.);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Федеральным законом от 29 декабря 2004 года №191-ФЗ                              "О введении в действие Градостроительного кодекса Российской Федерации («Российская газета», № 290, 30.12.2004); 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Федеральным </w: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fldChar w:fldCharType="begin"/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instrText xml:space="preserve"> HYPERLINK "consultantplus://offline/ref=751CD8CE5B5861EE932387DF73B8DE93F18196C2B50297D20C664D441AuC6FG" </w:instrText>
      </w:r>
      <w:r>
        <w:rPr>
          <w:rFonts w:ascii="Times New Roman" w:hAnsi="Times New Roman"/>
          <w:color w:val="000000" w:themeColor="text1"/>
          <w:sz w:val="28"/>
          <w:szCs w:val="28"/>
          <w:lang w:eastAsia="zh-CN"/>
        </w:rPr>
        <w:fldChar w:fldCharType="separate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законом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 27 июля 2006 года №152-ФЗ «О персональных данных» («Собрание законодательства Российской Федерации», 31 июля 2006 года, № 31 (1 ч.), ст. 3451);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Федеральным законом от 24 июля 2007 года №221-ФЗ                                       «О кадастровой деятельности» («Российская  газета», № 165, 01.08.2007);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instrText xml:space="preserve">HYPERLINK "consultantplus://offline/ref=763D89DD0CAA6BD5D57369CA8C32B58967764647836F9D3D548A266601FA80D56598F41DA9CABE25F8zFI" \o "Постановление Правительства РФ от 25.06.2012 N 634 (ред. от 28.10.2013) \"О видах электронной подписи, использование которых допускается при обращении за получением государственных и муниципальных услуг\" (вместе с \"Правилами определения видов электронной подпис"</w:instrTex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fldChar w:fldCharType="separate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Постановление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fldChar w:fldCharType="begin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instrText xml:space="preserve"> </w:instrTex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instrText xml:space="preserve">HYPERLINK</w:instrTex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instrText xml:space="preserve"> "</w:instrTex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instrText xml:space="preserve">http</w:instrTex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instrText xml:space="preserve">://</w:instrTex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instrText xml:space="preserve">www</w:instrTex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instrText xml:space="preserve">.</w:instrTex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instrText xml:space="preserve">pravo</w:instrTex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instrText xml:space="preserve">.</w:instrTex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instrText xml:space="preserve">gov</w:instrTex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instrText xml:space="preserve">.</w:instrTex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instrText xml:space="preserve">ru</w:instrTex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instrText xml:space="preserve">" </w:instrTex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fldChar w:fldCharType="separate"/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://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www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pravo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gov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ru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fldChar w:fldCharType="end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28/02/2015);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instrText xml:space="preserve">HYPERLINK "consultantplus://offline/ref=6DEA491B01D7E06DC9859729EBF2899FB5BC10098FBA8E79C38A4FEB848DBD327592B77C4A8AB5AD1FADG"</w:instrTex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fldChar w:fldCharType="separate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порядк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Законом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02.03.2015,"Курская правда», № 22, 05.03.2015);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ar-SA"/>
        </w:rPr>
        <w:t>- Постановление Администрации города Обояни Курской области от 22.07.2016 г. №567 «Об утверждении Положения об особенностях подачи и рассмотрения жалоб на решения и действия (бездействие) Администрации города Обояни и ее должностных лиц, муниципальных служащих Администрации города Обояни»;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ar-SA"/>
        </w:rPr>
        <w:t xml:space="preserve">- Постановление Администрации города Обояни Курской области от 28.02.2018 г. </w:t>
      </w:r>
      <w:bookmarkStart w:id="0" w:name="_GoBack"/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ar-SA"/>
        </w:rPr>
        <w:t>№</w:t>
      </w:r>
      <w:bookmarkEnd w:id="0"/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ar-SA"/>
        </w:rPr>
        <w:t>144 «О разработке и утверждении административных регламентов предоставления муниципальных услуг в новой редакции»;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560" w:firstLineChars="200"/>
        <w:jc w:val="both"/>
        <w:textAlignment w:val="auto"/>
        <w:rPr>
          <w:rFonts w:ascii="Times New Roman" w:hAnsi="Times New Roman" w:cs="Times New Roman"/>
          <w:szCs w:val="28"/>
        </w:rPr>
      </w:pPr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ar-SA"/>
        </w:rPr>
        <w:t>- Устав муниципального образования «город Обоянь» Обоянского района Курской области</w:t>
      </w:r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val="ru-RU" w:eastAsia="ar-SA"/>
        </w:rPr>
        <w:t>.</w:t>
      </w:r>
    </w:p>
    <w:sectPr>
      <w:pgSz w:w="11906" w:h="16838"/>
      <w:pgMar w:top="850" w:right="567" w:bottom="85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401A9"/>
    <w:rsid w:val="000D7D36"/>
    <w:rsid w:val="00104794"/>
    <w:rsid w:val="00172A17"/>
    <w:rsid w:val="00277AB5"/>
    <w:rsid w:val="002E1DD3"/>
    <w:rsid w:val="00330032"/>
    <w:rsid w:val="003B3F48"/>
    <w:rsid w:val="00583B98"/>
    <w:rsid w:val="006D74A9"/>
    <w:rsid w:val="00773975"/>
    <w:rsid w:val="00905EF2"/>
    <w:rsid w:val="00923BFC"/>
    <w:rsid w:val="00B81411"/>
    <w:rsid w:val="00BC3BAE"/>
    <w:rsid w:val="00C070B4"/>
    <w:rsid w:val="00C401A9"/>
    <w:rsid w:val="00E541A0"/>
    <w:rsid w:val="0B7F046F"/>
    <w:rsid w:val="1CBA5E9E"/>
    <w:rsid w:val="70D330F9"/>
    <w:rsid w:val="7545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qFormat/>
    <w:uiPriority w:val="99"/>
    <w:rPr>
      <w:b/>
      <w:bCs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7">
    <w:name w:val="Базовый"/>
    <w:qFormat/>
    <w:uiPriority w:val="0"/>
    <w:pPr>
      <w:tabs>
        <w:tab w:val="left" w:pos="709"/>
      </w:tabs>
      <w:suppressAutoHyphens/>
      <w:spacing w:after="200" w:line="276" w:lineRule="atLeast"/>
    </w:pPr>
    <w:rPr>
      <w:rFonts w:ascii="Calibri" w:hAnsi="Calibri" w:eastAsia="Times New Roman" w:cs="Calibri"/>
      <w:color w:val="00000A"/>
      <w:sz w:val="22"/>
      <w:szCs w:val="22"/>
      <w:lang w:val="ru-RU" w:eastAsia="ru-RU" w:bidi="ar-SA"/>
    </w:rPr>
  </w:style>
  <w:style w:type="paragraph" w:customStyle="1" w:styleId="8">
    <w:name w:val="Содержимое таблицы"/>
    <w:basedOn w:val="1"/>
    <w:qFormat/>
    <w:uiPriority w:val="99"/>
    <w:pPr>
      <w:widowControl w:val="0"/>
      <w:suppressLineNumbers/>
      <w:suppressAutoHyphens/>
      <w:spacing w:after="0" w:line="240" w:lineRule="auto"/>
    </w:pPr>
    <w:rPr>
      <w:rFonts w:ascii="Arial" w:hAnsi="Arial" w:eastAsia="Times New Roman" w:cs="Arial"/>
      <w:kern w:val="2"/>
      <w:sz w:val="20"/>
      <w:szCs w:val="20"/>
    </w:rPr>
  </w:style>
  <w:style w:type="paragraph" w:customStyle="1" w:styleId="9">
    <w:name w:val="Абзац списка1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customStyle="1" w:styleId="10">
    <w:name w:val="p5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customStyle="1" w:styleId="11">
    <w:name w:val="Абзац списка2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styleId="12">
    <w:name w:val="List Paragraph"/>
    <w:basedOn w:val="1"/>
    <w:qFormat/>
    <w:uiPriority w:val="99"/>
    <w:pPr>
      <w:ind w:left="720"/>
    </w:pPr>
    <w:rPr>
      <w:rFonts w:ascii="Calibri" w:hAnsi="Calibri" w:eastAsia="Times New Roman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976</Words>
  <Characters>5564</Characters>
  <Lines>46</Lines>
  <Paragraphs>13</Paragraphs>
  <TotalTime>20</TotalTime>
  <ScaleCrop>false</ScaleCrop>
  <LinksUpToDate>false</LinksUpToDate>
  <CharactersWithSpaces>6527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2018-11-19T12:24:00Z</dcterms:created>
  <dc:creator>Хачатрян</dc:creator>
  <cp:lastModifiedBy>Андрей</cp:lastModifiedBy>
  <dcterms:modified xsi:type="dcterms:W3CDTF">2022-06-06T12:52:24Z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19A9DDFDB27548F0B294B4341C39B051</vt:lpwstr>
  </property>
</Properties>
</file>