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455930" cy="677545"/>
            <wp:effectExtent l="9525" t="9525" r="10795" b="17780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21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6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 xml:space="preserve">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321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>Обоянь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типового контракта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</w:t>
      </w:r>
      <w:r>
        <w:rPr>
          <w:snapToGrid w:val="0"/>
          <w:sz w:val="28"/>
          <w:szCs w:val="28"/>
        </w:rPr>
        <w:t>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Установить, что указанный в пункте 1 настоящего приказа типовой контракт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код предмета контракта по ОКПД2 –43.99.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0.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.о. заместителя Главы Администрации города Обояни по экономике                         Е.Ю. Бочаровой </w:t>
      </w:r>
      <w:r>
        <w:rPr>
          <w:sz w:val="28"/>
          <w:szCs w:val="28"/>
        </w:rPr>
        <w:t xml:space="preserve">в течение трех рабочих дней с даты издания настоящего постановления обеспечить размещение настоящего постановления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eastAsia="ru-RU"/>
        </w:rPr>
        <w:t>Администрации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города Обояни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Настоящий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eastAsia="ru-RU"/>
        </w:rPr>
        <w:t>Администрации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города Обояни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полнением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возложить на и.о. заместителя Главы Администрации города Обояни по экономике                         Е.Ю. Бочарову.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                                                                         А. А. Локтионов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2-19-52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>т 2</w:t>
      </w:r>
      <w:r>
        <w:rPr>
          <w:rFonts w:hint="default"/>
          <w:bCs/>
          <w:lang w:val="ru-RU"/>
        </w:rPr>
        <w:t>1</w:t>
      </w:r>
      <w:r>
        <w:rPr>
          <w:bCs/>
        </w:rPr>
        <w:t xml:space="preserve"> июня 2022 года №</w:t>
      </w:r>
      <w:r>
        <w:rPr>
          <w:rFonts w:hint="default"/>
          <w:bCs/>
          <w:lang w:val="ru-RU"/>
        </w:rPr>
        <w:t>321</w:t>
      </w: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>ПРОЕКТ 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Локтионова Александра Александровича</w:t>
      </w:r>
      <w:r>
        <w:rPr>
          <w:spacing w:val="-6"/>
        </w:rPr>
        <w:t>, действующего на основании Устава</w:t>
      </w:r>
      <w:r>
        <w:t xml:space="preserve">, с одной стороны, и Общество с ограниченной ответственностью «Облстройреставрация», именуемое в дальнейшем </w:t>
      </w:r>
      <w:r>
        <w:rPr>
          <w:b/>
          <w:bCs/>
        </w:rPr>
        <w:t>«Подрядчик»</w:t>
      </w:r>
      <w:r>
        <w:t xml:space="preserve">, в лице директора Борисенко Сергея Александровича, действующего на основании Устава,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>, заключили настоящий контракт (далее «Контракт»)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>1. ПРЕДМЕТ КОНТРАКТА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согласно Контракт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ascii="Times New Roman" w:hAnsi="Times New Roman" w:cs="Times New Roman"/>
          <w:lang w:val="ru-RU"/>
        </w:rPr>
        <w:t xml:space="preserve"> в</w:t>
      </w:r>
      <w:r>
        <w:rPr>
          <w:rFonts w:hint="default" w:ascii="Times New Roman" w:hAnsi="Times New Roman" w:cs="Times New Roman"/>
        </w:rPr>
        <w:t>осстановлени</w:t>
      </w:r>
      <w:r>
        <w:rPr>
          <w:rFonts w:hint="default" w:ascii="Times New Roman" w:hAnsi="Times New Roman" w:cs="Times New Roman"/>
          <w:lang w:val="ru-RU"/>
        </w:rPr>
        <w:t>ю</w:t>
      </w:r>
      <w:r>
        <w:rPr>
          <w:rFonts w:hint="default" w:ascii="Times New Roman" w:hAnsi="Times New Roman" w:cs="Times New Roman"/>
        </w:rPr>
        <w:t xml:space="preserve"> (ремонт, благоустройство) воинского захоронения «Братская могила воинов Советской Армии, погибших в феврале 1943 года. Захоронено 318 человек, установлено фамилий на 129 человек. Скульптурная группа установлена в 1966 году», расположенного по адресу: Курская область, Обоянский район, город Обоянь (парк Юных пионеров),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 (парк Юных пионеров)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1.4. Объем и содержание работ определены локальным сметным расчетом (приложение № 1 к Контракту)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и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1.5. Работы по </w:t>
      </w:r>
      <w:r>
        <w:rPr>
          <w:rFonts w:hint="default"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</w:rPr>
        <w:t>осстановлени</w:t>
      </w:r>
      <w:r>
        <w:rPr>
          <w:rFonts w:hint="default" w:ascii="Times New Roman" w:hAnsi="Times New Roman" w:cs="Times New Roman"/>
          <w:lang w:val="ru-RU"/>
        </w:rPr>
        <w:t>ю</w:t>
      </w:r>
      <w:r>
        <w:rPr>
          <w:rFonts w:hint="default" w:ascii="Times New Roman" w:hAnsi="Times New Roman" w:cs="Times New Roman"/>
        </w:rPr>
        <w:t xml:space="preserve"> (ремонт, благоустройство) воинского захоронения «Братская могила воинов Советской Армии, погибших в феврале 1943 года. Захоронено 318 человек, установлено фамилий на 129 человек. Скульптурная группа установлена в 1966 году», расположенного по адресу: Курская область, Обоянский район, город Обоянь (парк Юных пионеров)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КОНТРАКТА,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Контракта, составляет </w:t>
      </w:r>
      <w:r>
        <w:rPr>
          <w:rFonts w:hint="default" w:ascii="Times New Roman" w:hAnsi="Times New Roman" w:cs="Times New Roman"/>
          <w:lang w:val="ru-RU"/>
        </w:rPr>
        <w:t xml:space="preserve">1797325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lang w:val="ru-RU"/>
        </w:rPr>
        <w:t>Один миллион семьсот девяносто семь</w:t>
      </w:r>
      <w:r>
        <w:rPr>
          <w:rFonts w:hint="default" w:ascii="Times New Roman" w:hAnsi="Times New Roman" w:cs="Times New Roman"/>
        </w:rPr>
        <w:t xml:space="preserve"> тысячи</w:t>
      </w:r>
      <w:r>
        <w:rPr>
          <w:rFonts w:hint="default" w:ascii="Times New Roman" w:hAnsi="Times New Roman" w:cs="Times New Roman"/>
          <w:lang w:val="ru-RU"/>
        </w:rPr>
        <w:t xml:space="preserve"> триста двадцать пять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80 копеек</w:t>
      </w:r>
      <w:r>
        <w:rPr>
          <w:rFonts w:hint="default" w:ascii="Times New Roman" w:hAnsi="Times New Roman" w:cs="Times New Roman"/>
        </w:rPr>
        <w:t>,  НДС нет.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>Цена контракта является твёрдой и определяется на весь срок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2.3. Цена Контракта включает в себя стоимость выполненных работ по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в</w:t>
      </w:r>
      <w:r>
        <w:rPr>
          <w:rFonts w:hint="default" w:ascii="Times New Roman" w:hAnsi="Times New Roman" w:cs="Times New Roman"/>
        </w:rPr>
        <w:t>осстановлени</w:t>
      </w:r>
      <w:r>
        <w:rPr>
          <w:rFonts w:hint="default" w:ascii="Times New Roman" w:hAnsi="Times New Roman" w:cs="Times New Roman"/>
          <w:lang w:val="ru-RU"/>
        </w:rPr>
        <w:t>ю</w:t>
      </w:r>
      <w:r>
        <w:rPr>
          <w:rFonts w:hint="default" w:ascii="Times New Roman" w:hAnsi="Times New Roman" w:cs="Times New Roman"/>
        </w:rPr>
        <w:t xml:space="preserve"> (ремонт, благоустройство) воинского захоронения «Братская могила воинов Советской Армии, погибших в феврале 1943 года. Захоронено 318 человек, установлено фамилий на 129 человек. Скульптурная группа установлена в 1966 году», расположенного по адресу: Курская область, Обоянский район, город Обоянь (парк Юных пионеров) </w:t>
      </w:r>
      <w:r>
        <w:rPr>
          <w:rFonts w:hint="default" w:ascii="Times New Roman" w:hAnsi="Times New Roman" w:cs="Times New Roman"/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пятнадцати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2.6. Оплата по настоящему Контракту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Заказчик по письменному запросу Подрядчика, после заключения 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10-дневный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При досрочном расторжении Контракта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предусмотренные настоящим контрактом,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 Контракта, если иной срок не установлен Соглашением о расторжении Контракта.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В случае досрочного расторжения контракта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г. с момента заключения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Датой начала выполнения Работ по настоящему Контракту считается день, следующий за днем подписания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контракту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4. ПРАВА И ОБЯЗАННОСТИ СТОРОН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u w:val="single"/>
        </w:rPr>
        <w:t>4</w:t>
      </w:r>
      <w:r>
        <w:rPr>
          <w:rFonts w:hint="default" w:ascii="Times New Roman" w:hAnsi="Times New Roman" w:cs="Times New Roman"/>
          <w:u w:val="single"/>
        </w:rPr>
        <w:t>.1. Подрядчик обязуется: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4.2.2. По согласованию с Заказчиком досрочно исполнить обязательства по Контракту.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4.3.3. Произвести платежи по Контракту в порядке, предусмотренном разделом 2 настоящего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4.3.5. Выполнять другие обязательства, вытекающие из условий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5.1. Приемка работ по Контракту, приемка Объекта осуществляются Сторонами в соответствии действующим контрактом.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Контрактом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 процентов цены контракта, т.к. цена контракта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10 процентов начальной (максимальной) цены контракта, т.к. начальная (максимальная) цена контракта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>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контрактом,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7.18. Применение штрафных санкций не освобождает Стороны от выполнения принятых обязательств по настоящему 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8. СРОК ДЕЙСТВИЯ КОНТРАКТА, ИЗМЕНЕНИЕ И РАСТОРЖЕНИЕ КОНТРАКТА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11. РЕКВИЗИТЫ И ПОДПИСИ СТОРОН</w:t>
      </w: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t xml:space="preserve">Глава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.А. Локтионов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ind w:firstLine="426"/>
              <w:jc w:val="left"/>
            </w:pPr>
            <w:r>
              <w:rPr>
                <w:b/>
                <w:bCs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«Облстройрестварация»</w:t>
            </w:r>
          </w:p>
          <w:p>
            <w:pPr>
              <w:widowControl w:val="0"/>
              <w:snapToGrid w:val="0"/>
              <w:spacing w:after="0"/>
              <w:ind w:firstLine="426"/>
              <w:jc w:val="left"/>
              <w:rPr>
                <w:b/>
                <w:bCs/>
              </w:rPr>
            </w:pPr>
          </w:p>
          <w:p>
            <w:pPr>
              <w:widowControl w:val="0"/>
              <w:spacing w:after="0"/>
              <w:jc w:val="left"/>
            </w:pPr>
            <w:r>
              <w:t>Юридический адрес: 305001, Курская обл., г. Курск, ул. А. Невского д. 6-8, оф. 28</w:t>
            </w:r>
          </w:p>
          <w:p>
            <w:pPr>
              <w:widowControl w:val="0"/>
              <w:spacing w:after="0"/>
              <w:jc w:val="left"/>
            </w:pPr>
            <w:r>
              <w:t>Почтовый адрес: 305001, Курская обл., г. Курск, ул. А. Невского д. 6-8, оф. 28</w:t>
            </w:r>
          </w:p>
          <w:p>
            <w:pPr>
              <w:widowControl w:val="0"/>
              <w:spacing w:after="0"/>
              <w:jc w:val="left"/>
            </w:pPr>
            <w:r>
              <w:t>Телефон: 8(4712)520911</w:t>
            </w:r>
          </w:p>
          <w:p>
            <w:pPr>
              <w:widowControl w:val="0"/>
              <w:spacing w:after="0"/>
            </w:pPr>
            <w:r>
              <w:t xml:space="preserve">Электронная почта: </w:t>
            </w:r>
            <w:r>
              <w:fldChar w:fldCharType="begin"/>
            </w:r>
            <w:r>
              <w:instrText xml:space="preserve"> HYPERLINK "mailto:oblstroyrestavr@mail.ru" </w:instrText>
            </w:r>
            <w:r>
              <w:fldChar w:fldCharType="separate"/>
            </w:r>
            <w:r>
              <w:rPr>
                <w:rStyle w:val="7"/>
                <w:lang w:val="en-US"/>
              </w:rPr>
              <w:t>oblstroyrestavr</w:t>
            </w:r>
            <w:r>
              <w:rPr>
                <w:rStyle w:val="7"/>
              </w:rPr>
              <w:t>@</w:t>
            </w:r>
            <w:r>
              <w:rPr>
                <w:rStyle w:val="7"/>
                <w:lang w:val="en-US"/>
              </w:rPr>
              <w:t>mail</w:t>
            </w:r>
            <w:r>
              <w:rPr>
                <w:rStyle w:val="7"/>
              </w:rPr>
              <w:t>.</w:t>
            </w:r>
            <w:r>
              <w:rPr>
                <w:rStyle w:val="7"/>
                <w:lang w:val="en-US"/>
              </w:rPr>
              <w:t>ru</w:t>
            </w:r>
            <w:r>
              <w:rPr>
                <w:rStyle w:val="7"/>
                <w:lang w:val="en-US"/>
              </w:rPr>
              <w:fldChar w:fldCharType="end"/>
            </w:r>
            <w:r>
              <w:t>,</w:t>
            </w:r>
          </w:p>
          <w:p>
            <w:pPr>
              <w:widowControl w:val="0"/>
              <w:spacing w:after="0"/>
            </w:pPr>
            <w:r>
              <w:rPr>
                <w:bCs/>
              </w:rPr>
              <w:t xml:space="preserve">ИНН </w:t>
            </w:r>
            <w:r>
              <w:t>4632061252</w:t>
            </w:r>
            <w:r>
              <w:rPr>
                <w:bCs/>
              </w:rPr>
              <w:t xml:space="preserve"> КПП 463201001</w:t>
            </w:r>
          </w:p>
          <w:p>
            <w:pPr>
              <w:widowControl w:val="0"/>
              <w:snapToGrid w:val="0"/>
              <w:spacing w:after="0"/>
            </w:pPr>
            <w:r>
              <w:rPr>
                <w:shd w:val="clear" w:color="auto" w:fill="FFFFFF"/>
              </w:rPr>
              <w:t>Курское отделение №8596 ПАО "Сбербанк России"</w:t>
            </w:r>
          </w:p>
          <w:p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р/с 40702810933000011258</w:t>
            </w:r>
          </w:p>
          <w:p>
            <w:pPr>
              <w:widowControl w:val="0"/>
              <w:snapToGrid w:val="0"/>
              <w:spacing w:after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к/с 30101810300000000606</w:t>
            </w:r>
          </w:p>
          <w:p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БИК 043807606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keepNext/>
              <w:widowControl w:val="0"/>
              <w:spacing w:after="0"/>
              <w:jc w:val="left"/>
            </w:pPr>
            <w:r>
              <w:t>Директор ООО «Облстройреставрация»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(С.А. Борисенко)</w:t>
            </w: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12F97356"/>
    <w:rsid w:val="18B91543"/>
    <w:rsid w:val="21962D28"/>
    <w:rsid w:val="24525BA6"/>
    <w:rsid w:val="2BFE6647"/>
    <w:rsid w:val="2E047EDB"/>
    <w:rsid w:val="2EF83DBC"/>
    <w:rsid w:val="331554AE"/>
    <w:rsid w:val="45462836"/>
    <w:rsid w:val="49F87680"/>
    <w:rsid w:val="5034079C"/>
    <w:rsid w:val="527B566F"/>
    <w:rsid w:val="55AD0473"/>
    <w:rsid w:val="56170E73"/>
    <w:rsid w:val="5CCD3A14"/>
    <w:rsid w:val="5D21414C"/>
    <w:rsid w:val="7084630F"/>
    <w:rsid w:val="72D41BF7"/>
    <w:rsid w:val="797057FE"/>
    <w:rsid w:val="7A6A02A8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1</TotalTime>
  <ScaleCrop>false</ScaleCrop>
  <LinksUpToDate>false</LinksUpToDate>
  <CharactersWithSpaces>30858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2022-06-22T14:45:46Z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6087C2486F724B68B27A5BE7E38D0030</vt:lpwstr>
  </property>
</Properties>
</file>