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-284" w:right="-144" w:firstLine="900"/>
        <w:jc w:val="center"/>
        <w:rPr>
          <w:rFonts w:ascii="Arial Rounded MT Bold" w:hAnsi="Arial Rounded MT Bold" w:eastAsia="Calibri" w:cs="Times New Roman"/>
          <w:b/>
          <w:color w:val="00000A"/>
          <w:sz w:val="24"/>
          <w:szCs w:val="24"/>
          <w:lang w:val="ru-RU" w:eastAsia="en-US" w:bidi="ar-SA"/>
        </w:rPr>
      </w:pPr>
    </w:p>
    <w:p>
      <w:pPr>
        <w:spacing w:before="0" w:after="0" w:line="240" w:lineRule="auto"/>
        <w:ind w:left="-284" w:right="-144" w:firstLine="900"/>
        <w:jc w:val="center"/>
        <w:rPr>
          <w:rFonts w:ascii="Arial Rounded MT Bold" w:hAnsi="Arial Rounded MT Bold" w:eastAsia="Calibri" w:cs="Times New Roman"/>
          <w:b/>
          <w:color w:val="00000A"/>
          <w:sz w:val="24"/>
          <w:szCs w:val="24"/>
          <w:lang w:val="ru-RU" w:eastAsia="en-US" w:bidi="ar-SA"/>
        </w:rPr>
      </w:pPr>
      <w:r>
        <w:rPr>
          <w:rFonts w:ascii="Arial Rounded MT Bold" w:hAnsi="Arial Rounded MT Bold" w:eastAsia="Calibri" w:cs="Times New Roman"/>
          <w:b/>
          <w:color w:val="00000A"/>
          <w:sz w:val="24"/>
          <w:szCs w:val="24"/>
          <w:lang w:val="ru-RU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137160</wp:posOffset>
            </wp:positionV>
            <wp:extent cx="530225" cy="77533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40" w:lineRule="auto"/>
        <w:ind w:left="0" w:right="85" w:firstLine="0"/>
        <w:jc w:val="center"/>
        <w:rPr>
          <w:rFonts w:ascii="Times New Roman" w:hAnsi="Times New Roman" w:eastAsia="Times New Roman" w:cs="Times New Roman"/>
          <w:b/>
          <w:bCs/>
          <w:color w:val="00000A"/>
          <w:sz w:val="36"/>
          <w:szCs w:val="36"/>
          <w:lang w:val="ru-RU" w:eastAsia="en-US" w:bidi="ar-SA"/>
        </w:rPr>
      </w:pPr>
    </w:p>
    <w:p>
      <w:pPr>
        <w:spacing w:before="0" w:after="0" w:line="240" w:lineRule="auto"/>
        <w:ind w:left="0" w:right="85" w:firstLine="0"/>
        <w:jc w:val="center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0" w:right="85" w:firstLine="0"/>
        <w:jc w:val="center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0" w:right="85" w:firstLine="0"/>
        <w:jc w:val="both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0" w:right="85" w:firstLine="0"/>
        <w:jc w:val="center"/>
        <w:rPr>
          <w:rFonts w:ascii="Times New Roman" w:hAnsi="Times New Roman" w:eastAsia="Times New Roman" w:cs="Times New Roman"/>
          <w:b/>
          <w:bCs/>
          <w:color w:val="00000A"/>
          <w:sz w:val="36"/>
          <w:szCs w:val="36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АДМИНИСТРАЦИЯ ГОРОДА ОБОЯНИ</w:t>
      </w:r>
    </w:p>
    <w:p>
      <w:pPr>
        <w:spacing w:before="0" w:after="0" w:line="240" w:lineRule="auto"/>
        <w:ind w:left="0" w:right="85" w:firstLine="0"/>
        <w:jc w:val="center"/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val="ru-RU"/>
        </w:rPr>
        <w:t>КУРСКОЙ ОБЛАСТИ</w:t>
      </w:r>
    </w:p>
    <w:p>
      <w:pPr>
        <w:spacing w:before="0" w:after="0" w:line="240" w:lineRule="auto"/>
        <w:ind w:left="0" w:right="85" w:firstLine="0"/>
        <w:jc w:val="both"/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val="ru-RU"/>
        </w:rPr>
        <w:t xml:space="preserve">                               ПОСТАНОВЛЕНИЕ</w:t>
      </w:r>
    </w:p>
    <w:p>
      <w:pPr>
        <w:spacing w:before="0" w:after="0" w:line="240" w:lineRule="auto"/>
        <w:ind w:left="0" w:right="85" w:firstLine="0"/>
        <w:jc w:val="both"/>
        <w:rPr>
          <w:rFonts w:ascii="Times New Roman" w:hAnsi="Times New Roman" w:eastAsia="Times New Roman" w:cs="Times New Roman"/>
          <w:b/>
          <w:bCs/>
          <w:color w:val="00000A"/>
          <w:sz w:val="36"/>
          <w:szCs w:val="36"/>
          <w:lang w:val="ru-RU" w:eastAsia="en-US" w:bidi="ar-SA"/>
        </w:rPr>
      </w:pPr>
    </w:p>
    <w:p>
      <w:pPr>
        <w:spacing w:before="0" w:after="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  <w:t xml:space="preserve"> 30.12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.2021г.</w:t>
      </w:r>
      <w:r>
        <w:rPr>
          <w:rFonts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740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Calibri" w:cs="Times New Roman"/>
          <w:b/>
          <w:bCs/>
          <w:color w:val="00000A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Обояни</w:t>
      </w:r>
    </w:p>
    <w:p>
      <w:pPr>
        <w:spacing w:before="0" w:after="0" w:line="240" w:lineRule="auto"/>
        <w:ind w:firstLine="28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муниципальной программы  </w:t>
      </w:r>
      <w:bookmarkStart w:id="0" w:name="__DdeLink__58054_743424194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«Формирование современной 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городской среды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Обоянь»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Обоянского района Курской области» </w:t>
      </w:r>
    </w:p>
    <w:p>
      <w:pPr>
        <w:spacing w:before="0" w:after="0" w:line="240" w:lineRule="auto"/>
        <w:ind w:firstLine="2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2022 год - 2024 годы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</w:p>
    <w:p>
      <w:pPr>
        <w:spacing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 CYR;Times New R" w:hAnsi="Times New Roman CYR;Times New R" w:eastAsia="Times New Roman" w:cs="Times New Roman CYR;Times New R"/>
          <w:sz w:val="28"/>
          <w:szCs w:val="28"/>
          <w:lang w:val="ru-RU" w:eastAsia="ru-RU"/>
        </w:rPr>
        <w:t xml:space="preserve">В соответствии с Федеральным Законом от 06.10.2003 № 131-ФЗ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 CYR;Times New R" w:hAnsi="Times New Roman CYR;Times New R" w:eastAsia="Times New Roman" w:cs="Times New Roman CYR;Times New R"/>
          <w:sz w:val="28"/>
          <w:szCs w:val="28"/>
          <w:lang w:val="ru-RU" w:eastAsia="ru-RU"/>
        </w:rPr>
        <w:t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»,  </w:t>
      </w:r>
      <w:r>
        <w:rPr>
          <w:rFonts w:ascii="Times New Roman CYR;Times New R" w:hAnsi="Times New Roman CYR;Times New R" w:eastAsia="Times New Roman" w:cs="Times New Roman CYR;Times New R"/>
          <w:sz w:val="28"/>
          <w:szCs w:val="28"/>
          <w:lang w:val="ru-RU" w:eastAsia="ru-RU"/>
        </w:rPr>
        <w:t>Администрация города Обояни</w:t>
      </w:r>
    </w:p>
    <w:p>
      <w:pPr>
        <w:spacing w:line="240" w:lineRule="auto"/>
        <w:ind w:left="0" w:right="0" w:firstLine="0"/>
        <w:jc w:val="center"/>
        <w:rPr>
          <w:rFonts w:ascii="Times New Roman" w:hAnsi="Times New Roman" w:eastAsia="Calibri" w:cs="Times New Roman"/>
          <w:b/>
          <w:bCs/>
          <w:color w:val="00000A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350" w:firstLineChars="125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 прилагаемую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zh-CN" w:bidi="zh-CN"/>
        </w:rPr>
        <w:t>муниципальную  программу «Формирование современной городской среды на территории  муниципального образования «город Обоянь» Обоянского района Курской области» на 2022 год - 2024 годы»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50" w:firstLineChars="125"/>
        <w:jc w:val="both"/>
        <w:textAlignment w:val="auto"/>
      </w:pPr>
      <w:r>
        <w:rPr>
          <w:rFonts w:ascii="Times New Roman" w:hAnsi="Times New Roman" w:eastAsia="Times New Roman" w:cs="Times New Roman CYR;Times New R"/>
          <w:sz w:val="28"/>
          <w:szCs w:val="28"/>
          <w:lang w:eastAsia="ru-RU"/>
        </w:rPr>
        <w:t xml:space="preserve">Разместить настоящее постановление на официальном сайте муниципального образования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«город Обоянь» Обоянского района </w:t>
      </w:r>
      <w:r>
        <w:rPr>
          <w:rFonts w:ascii="Times New Roman" w:hAnsi="Times New Roman" w:eastAsia="Times New Roman" w:cs="Times New Roman CYR;Times New R"/>
          <w:sz w:val="28"/>
          <w:szCs w:val="28"/>
          <w:lang w:eastAsia="ru-RU"/>
        </w:rPr>
        <w:t xml:space="preserve">Курской области в сети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 CYR;Times New R"/>
          <w:sz w:val="28"/>
          <w:szCs w:val="28"/>
          <w:lang w:eastAsia="ru-RU"/>
        </w:rPr>
        <w:t>Интернет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350" w:firstLineChars="125"/>
        <w:jc w:val="both"/>
        <w:textAlignment w:val="auto"/>
      </w:pPr>
      <w:r>
        <w:rPr>
          <w:rFonts w:ascii="Times New Roman" w:hAnsi="Times New Roman" w:eastAsia="Times New Roman" w:cs="Times New Roman CYR;Times New R"/>
          <w:sz w:val="28"/>
          <w:szCs w:val="28"/>
          <w:shd w:val="clear" w:fill="FFFFFF"/>
          <w:lang w:eastAsia="ru-RU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eastAsia="Times New Roman" w:cs="Times New Roman CYR;Times New R"/>
          <w:sz w:val="28"/>
          <w:szCs w:val="28"/>
          <w:shd w:val="clear" w:fill="FFFFFF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 w:eastAsia="ru-RU" w:bidi="ar-SA"/>
        </w:rPr>
        <w:t xml:space="preserve">начальника отдела планирования, финансового обеспечения, бухгалтерского учета и отчетности Администрации города Обояни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FFFFFF"/>
          <w:lang w:val="ru-RU" w:eastAsia="ru-RU" w:bidi="ar-SA"/>
        </w:rPr>
        <w:t>Е. Ю. Бочарову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val="en-US" w:eastAsia="ru-RU" w:bidi="ar-SA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50" w:firstLineChars="125"/>
        <w:jc w:val="both"/>
        <w:textAlignment w:val="auto"/>
      </w:pPr>
      <w:r>
        <w:rPr>
          <w:rFonts w:ascii="Times New Roman" w:hAnsi="Times New Roman" w:eastAsia="Times New Roman"/>
          <w:sz w:val="28"/>
          <w:szCs w:val="28"/>
          <w:shd w:val="clear" w:fill="FFFFFF"/>
          <w:lang w:val="ru-RU" w:eastAsia="ru-RU"/>
        </w:rPr>
        <w:t>4</w:t>
      </w:r>
      <w:r>
        <w:rPr>
          <w:rFonts w:ascii="Times New Roman" w:hAnsi="Times New Roman" w:eastAsia="Times New Roman"/>
          <w:sz w:val="28"/>
          <w:szCs w:val="28"/>
          <w:shd w:val="clear" w:fill="FFFFFF"/>
          <w:lang w:eastAsia="ru-RU"/>
        </w:rPr>
        <w:t xml:space="preserve">. </w:t>
      </w:r>
      <w:r>
        <w:rPr>
          <w:rFonts w:ascii="Times New Roman" w:hAnsi="Times New Roman" w:eastAsia="Times New Roman" w:cs="Times New Roman CYR;Times New R"/>
          <w:sz w:val="28"/>
          <w:szCs w:val="28"/>
          <w:shd w:val="clear" w:fill="FFFFFF"/>
          <w:lang w:eastAsia="ru-RU"/>
        </w:rPr>
        <w:t>Постановление вступает в силу с</w:t>
      </w:r>
      <w:r>
        <w:rPr>
          <w:rFonts w:ascii="Times New Roman" w:hAnsi="Times New Roman" w:cs="Times New Roman CYR;Times New R"/>
          <w:sz w:val="28"/>
          <w:szCs w:val="28"/>
          <w:shd w:val="clear" w:fill="FFFFFF"/>
          <w:lang w:val="en-US" w:eastAsia="ru-RU"/>
        </w:rPr>
        <w:t xml:space="preserve"> 01 января 2022 года.</w:t>
      </w:r>
    </w:p>
    <w:p>
      <w:pPr>
        <w:suppressAutoHyphens/>
        <w:overflowPunct/>
        <w:bidi w:val="0"/>
        <w:spacing w:before="0" w:after="0" w:line="240" w:lineRule="auto"/>
        <w:ind w:left="0" w:right="0" w:firstLine="644"/>
        <w:jc w:val="both"/>
        <w:textAlignment w:val="auto"/>
        <w:rPr>
          <w:rFonts w:ascii="Times New Roman" w:hAnsi="Times New Roman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uppressAutoHyphens/>
        <w:overflowPunct/>
        <w:bidi w:val="0"/>
        <w:spacing w:before="0" w:after="0" w:line="240" w:lineRule="auto"/>
        <w:ind w:left="0" w:right="0" w:firstLine="644"/>
        <w:jc w:val="both"/>
        <w:textAlignment w:val="auto"/>
        <w:rPr>
          <w:rFonts w:ascii="Calibri" w:hAnsi="Calibri" w:eastAsia="Calibri" w:cs="Times New Roman"/>
          <w:b w:val="0"/>
          <w:bCs w:val="0"/>
          <w:color w:val="00000A"/>
          <w:sz w:val="28"/>
          <w:szCs w:val="28"/>
          <w:lang w:val="ru-RU" w:eastAsia="zh-CN" w:bidi="zh-CN"/>
        </w:rPr>
      </w:pPr>
    </w:p>
    <w:p>
      <w:pPr>
        <w:spacing w:line="240" w:lineRule="auto"/>
        <w:ind w:left="0" w:right="0" w:firstLine="0"/>
      </w:pPr>
      <w:r>
        <w:rPr>
          <w:rFonts w:ascii="Times New Roman" w:hAnsi="Times New Roman" w:cs="Times New Roman"/>
          <w:sz w:val="28"/>
          <w:szCs w:val="28"/>
          <w:lang w:val="ru-RU" w:eastAsia="zh-CN" w:bidi="zh-CN"/>
        </w:rPr>
        <w:t>И.о.Главы города Обояни</w:t>
      </w:r>
      <w:r>
        <w:rPr>
          <w:rFonts w:ascii="Times New Roman" w:hAnsi="Times New Roman" w:cs="Times New Roman"/>
          <w:sz w:val="28"/>
          <w:szCs w:val="28"/>
          <w:lang w:val="ru-RU" w:eastAsia="zh-CN" w:bidi="zh-CN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zh-CN" w:bidi="zh-CN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zh-CN" w:bidi="zh-CN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zh-CN" w:bidi="zh-CN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zh-CN" w:bidi="zh-CN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zh-CN" w:bidi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zh-CN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 w:eastAsia="zh-CN" w:bidi="zh-CN"/>
        </w:rPr>
        <w:t xml:space="preserve">  Е.Ю.Бочарова</w:t>
      </w:r>
    </w:p>
    <w:p>
      <w:pPr>
        <w:spacing w:before="0" w:after="0" w:line="240" w:lineRule="auto"/>
        <w:ind w:left="0" w:right="85" w:firstLine="0"/>
        <w:rPr>
          <w:rFonts w:ascii="Times New Roman" w:hAnsi="Times New Roman" w:eastAsia="Calibri" w:cs="Times New Roman"/>
          <w:color w:val="00000A"/>
          <w:sz w:val="20"/>
          <w:szCs w:val="20"/>
          <w:lang w:val="ru-RU" w:eastAsia="zh-CN" w:bidi="zh-CN"/>
        </w:rPr>
      </w:pPr>
    </w:p>
    <w:p>
      <w:pPr>
        <w:spacing w:before="0" w:after="0" w:line="240" w:lineRule="auto"/>
        <w:ind w:left="0" w:right="85" w:firstLine="0"/>
        <w:rPr>
          <w:rFonts w:ascii="Times New Roman" w:hAnsi="Times New Roman" w:eastAsia="Calibri" w:cs="Times New Roman"/>
          <w:color w:val="00000A"/>
          <w:sz w:val="20"/>
          <w:szCs w:val="20"/>
          <w:lang w:val="ru-RU" w:eastAsia="zh-CN" w:bidi="zh-CN"/>
        </w:rPr>
      </w:pPr>
    </w:p>
    <w:p>
      <w:pPr>
        <w:spacing w:before="0" w:after="0" w:line="240" w:lineRule="auto"/>
        <w:ind w:left="0" w:right="85" w:firstLine="0"/>
        <w:rPr>
          <w:rFonts w:ascii="Times New Roman" w:hAnsi="Times New Roman" w:eastAsia="Calibri" w:cs="Times New Roman"/>
          <w:color w:val="00000A"/>
          <w:sz w:val="20"/>
          <w:szCs w:val="20"/>
          <w:lang w:val="ru-RU" w:eastAsia="zh-CN" w:bidi="zh-CN"/>
        </w:rPr>
      </w:pPr>
    </w:p>
    <w:p>
      <w:pPr>
        <w:spacing w:before="0" w:after="0" w:line="240" w:lineRule="auto"/>
        <w:ind w:left="0" w:right="85" w:firstLine="0"/>
        <w:rPr>
          <w:rFonts w:ascii="Times New Roman" w:hAnsi="Times New Roman" w:eastAsia="Calibri" w:cs="Times New Roman"/>
          <w:color w:val="00000A"/>
          <w:sz w:val="20"/>
          <w:szCs w:val="20"/>
          <w:lang w:val="ru-RU" w:eastAsia="zh-CN" w:bidi="zh-CN"/>
        </w:rPr>
      </w:pPr>
    </w:p>
    <w:p>
      <w:pPr>
        <w:spacing w:before="0" w:after="0" w:line="240" w:lineRule="auto"/>
        <w:ind w:left="0" w:right="85" w:firstLine="0"/>
        <w:rPr>
          <w:rFonts w:ascii="Times New Roman" w:hAnsi="Times New Roman" w:eastAsia="Calibri" w:cs="Times New Roman"/>
          <w:color w:val="00000A"/>
          <w:sz w:val="20"/>
          <w:szCs w:val="20"/>
          <w:lang w:val="ru-RU" w:eastAsia="zh-CN" w:bidi="zh-CN"/>
        </w:rPr>
      </w:pPr>
    </w:p>
    <w:p>
      <w:pPr>
        <w:spacing w:before="0" w:after="0" w:line="240" w:lineRule="auto"/>
        <w:ind w:left="0" w:right="85" w:firstLine="0"/>
        <w:rPr>
          <w:rFonts w:ascii="Times New Roman" w:hAnsi="Times New Roman" w:eastAsia="Calibri" w:cs="Times New Roman"/>
          <w:color w:val="00000A"/>
          <w:sz w:val="20"/>
          <w:szCs w:val="20"/>
          <w:lang w:val="ru-RU" w:eastAsia="zh-CN" w:bidi="zh-CN"/>
        </w:rPr>
      </w:pPr>
    </w:p>
    <w:p>
      <w:pPr>
        <w:spacing w:before="0" w:after="0" w:line="240" w:lineRule="auto"/>
        <w:ind w:left="0" w:right="85" w:firstLine="0"/>
        <w:rPr>
          <w:rFonts w:ascii="Times New Roman" w:hAnsi="Times New Roman" w:eastAsia="Calibri" w:cs="Times New Roman"/>
          <w:color w:val="00000A"/>
          <w:sz w:val="20"/>
          <w:szCs w:val="20"/>
          <w:lang w:val="ru-RU" w:eastAsia="zh-CN" w:bidi="zh-CN"/>
        </w:rPr>
      </w:pPr>
    </w:p>
    <w:p>
      <w:pPr>
        <w:spacing w:before="0" w:after="0" w:line="240" w:lineRule="auto"/>
        <w:ind w:left="0" w:right="85" w:firstLine="0"/>
        <w:rPr>
          <w:rFonts w:ascii="Times New Roman" w:hAnsi="Times New Roman" w:eastAsia="Calibri" w:cs="Times New Roman"/>
          <w:color w:val="00000A"/>
          <w:sz w:val="20"/>
          <w:szCs w:val="20"/>
          <w:lang w:val="ru-RU" w:eastAsia="zh-CN" w:bidi="zh-CN"/>
        </w:rPr>
      </w:pPr>
    </w:p>
    <w:p>
      <w:pPr>
        <w:spacing w:before="0" w:after="0" w:line="240" w:lineRule="auto"/>
        <w:ind w:left="0" w:right="85" w:firstLine="0"/>
        <w:jc w:val="both"/>
      </w:pPr>
      <w:r>
        <w:rPr>
          <w:rFonts w:ascii="Times New Roman" w:hAnsi="Times New Roman" w:cs="Times New Roman"/>
          <w:sz w:val="18"/>
          <w:szCs w:val="18"/>
          <w:lang w:val="ru-RU" w:eastAsia="zh-CN" w:bidi="zh-CN"/>
        </w:rPr>
        <w:t>Кузьминова Е.В.</w:t>
      </w:r>
    </w:p>
    <w:p>
      <w:pPr>
        <w:spacing w:before="0" w:after="0" w:line="240" w:lineRule="auto"/>
        <w:ind w:left="0" w:right="85" w:firstLine="0"/>
        <w:jc w:val="both"/>
        <w:sectPr>
          <w:headerReference r:id="rId5" w:type="default"/>
          <w:pgSz w:w="11906" w:h="16838"/>
          <w:pgMar w:top="1134" w:right="567" w:bottom="1134" w:left="1701" w:header="284" w:footer="0" w:gutter="0"/>
          <w:pgNumType w:fmt="decimal"/>
          <w:cols w:space="0" w:num="1"/>
          <w:formProt w:val="0"/>
          <w:rtlGutter w:val="0"/>
          <w:docGrid w:linePitch="360" w:charSpace="0"/>
        </w:sectPr>
      </w:pPr>
      <w:r>
        <w:rPr>
          <w:rFonts w:ascii="Times New Roman" w:hAnsi="Times New Roman" w:cs="Times New Roman"/>
          <w:sz w:val="18"/>
          <w:szCs w:val="18"/>
          <w:lang w:val="ru-RU" w:eastAsia="zh-CN" w:bidi="zh-CN"/>
        </w:rPr>
        <w:t>8471412-19-52</w:t>
      </w:r>
    </w:p>
    <w:p>
      <w:pPr>
        <w:widowControl w:val="0"/>
        <w:tabs>
          <w:tab w:val="left" w:pos="-5670"/>
          <w:tab w:val="left" w:pos="567"/>
        </w:tabs>
        <w:spacing w:before="0" w:after="0" w:line="240" w:lineRule="auto"/>
        <w:ind w:firstLine="90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</w:p>
    <w:p>
      <w:pPr>
        <w:spacing w:before="0"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УТВЕРЖДЕНА</w:t>
      </w:r>
    </w:p>
    <w:p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Постановлением </w:t>
      </w:r>
    </w:p>
    <w:p>
      <w:pPr>
        <w:spacing w:before="0"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Администрации города Обояни</w:t>
      </w:r>
    </w:p>
    <w:p>
      <w:pPr>
        <w:spacing w:before="0"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740 </w:t>
      </w:r>
      <w:r>
        <w:rPr>
          <w:rFonts w:ascii="Times New Roman" w:hAnsi="Times New Roman"/>
          <w:sz w:val="24"/>
          <w:szCs w:val="24"/>
        </w:rPr>
        <w:t>от «</w:t>
      </w:r>
      <w:r>
        <w:rPr>
          <w:rFonts w:hint="default"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2021 года</w:t>
      </w:r>
    </w:p>
    <w:p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>
      <w:pPr>
        <w:jc w:val="center"/>
        <w:rPr>
          <w:rFonts w:ascii="Times New Roman" w:hAnsi="Times New Roman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jc w:val="center"/>
        <w:rPr>
          <w:rFonts w:ascii="Times New Roman" w:hAnsi="Times New Roman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jc w:val="center"/>
        <w:rPr>
          <w:rFonts w:ascii="Times New Roman" w:hAnsi="Times New Roman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jc w:val="center"/>
        <w:rPr>
          <w:rFonts w:ascii="Times New Roman" w:hAnsi="Times New Roman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jc w:val="center"/>
        <w:rPr>
          <w:rFonts w:ascii="Times New Roman" w:hAnsi="Times New Roman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>
      <w:pPr>
        <w:jc w:val="center"/>
      </w:pPr>
      <w:r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 муниципального образования «город Обоянь» Обоянского района Курской области на 2022-2024 годы»</w:t>
      </w: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993"/>
        </w:tabs>
        <w:spacing w:before="0" w:after="0" w:line="240" w:lineRule="auto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tabs>
          <w:tab w:val="left" w:pos="3300"/>
        </w:tabs>
        <w:sectPr>
          <w:headerReference r:id="rId6" w:type="default"/>
          <w:footerReference r:id="rId7" w:type="default"/>
          <w:pgSz w:w="11906" w:h="16838"/>
          <w:pgMar w:top="1134" w:right="1247" w:bottom="1134" w:left="1531" w:header="284" w:footer="709" w:gutter="0"/>
          <w:pgNumType w:fmt="decimal"/>
          <w:cols w:space="720" w:num="1"/>
          <w:formProt w:val="0"/>
          <w:docGrid w:linePitch="360" w:charSpace="-2049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2021 год</w:t>
      </w:r>
    </w:p>
    <w:p>
      <w:pPr>
        <w:keepNext/>
        <w:widowControl w:val="0"/>
        <w:tabs>
          <w:tab w:val="left" w:pos="9637"/>
        </w:tabs>
        <w:spacing w:before="0"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>Паспорт</w:t>
      </w:r>
    </w:p>
    <w:p>
      <w:pPr>
        <w:keepNext/>
        <w:widowControl w:val="0"/>
        <w:tabs>
          <w:tab w:val="left" w:pos="9637"/>
        </w:tabs>
        <w:spacing w:before="0" w:after="0" w:line="240" w:lineRule="auto"/>
        <w:jc w:val="center"/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 муниципальной программы «Формирование современной городской среды на территории  муниципального образования «город Обоянь» Обоянского района Курской области на 2022-2024 годы»</w:t>
      </w:r>
    </w:p>
    <w:tbl>
      <w:tblPr>
        <w:tblStyle w:val="3"/>
        <w:tblW w:w="9781" w:type="dxa"/>
        <w:tblInd w:w="-5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1696"/>
        <w:gridCol w:w="808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 w:bidi="ru-RU"/>
              </w:rPr>
              <w:t>«Формирование современной городской среды на территории  муниципального образования «город Обоянь» Обоянского района Курской области на 2022-2024 годы»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Ответственный исполнитель Программы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Администрация города Обояни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Участники Программы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/>
              </w:rPr>
              <w:t>Администрация города Обояни, граждане, их объединения, заинтересованные лица, общественные организации, подрядные организации, определенные по итогам осуществления закупки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Цель Программы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lang w:eastAsia="ru-RU" w:bidi="ru-RU"/>
              </w:rPr>
              <w:t>Повышение качества, комфорта, функциональности и эстетики городской среды на территории м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 w:bidi="ru-RU"/>
              </w:rPr>
              <w:t xml:space="preserve">униципального образования «город Обоянь» Обоянского района Курской области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Задачи Программы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территорий города.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Целевые показатели (индикаторы) Программы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1134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1. Доля реализованных комплексных проектов благоустройства общественных территорий (спортивные площадки, детские площадки и т.д.) в общем количестве реализованных в течение планового года проектов благоустройства общественных территорий;</w:t>
            </w:r>
          </w:p>
          <w:p>
            <w:pPr>
              <w:widowControl w:val="0"/>
              <w:tabs>
                <w:tab w:val="left" w:pos="1134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2.Доля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      </w:r>
          </w:p>
          <w:p>
            <w:pPr>
              <w:widowControl w:val="0"/>
              <w:tabs>
                <w:tab w:val="left" w:pos="1134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3.Количество благоустроенных общественных территорий.</w:t>
            </w:r>
          </w:p>
          <w:p>
            <w:pPr>
              <w:widowControl w:val="0"/>
              <w:tabs>
                <w:tab w:val="left" w:pos="1134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Сроки реализации Программы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Срок реализации – 2022-2024 годы.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Этапы реализации программы не выделяются.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Объемы бюджетных ассигнований Программы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 xml:space="preserve">Общий объем финансирования мероприятий программы на </w:t>
            </w:r>
            <w:r>
              <w:rPr>
                <w:rFonts w:ascii="Times New Roman" w:hAnsi="Times New Roman" w:eastAsia="Times New Roman"/>
                <w:b/>
                <w:bCs/>
                <w:lang w:eastAsia="ru-RU" w:bidi="ru-RU"/>
              </w:rPr>
              <w:t>2022</w:t>
            </w:r>
            <w:r>
              <w:rPr>
                <w:rFonts w:ascii="Times New Roman" w:hAnsi="Times New Roman" w:eastAsia="Times New Roman"/>
                <w:bCs/>
                <w:lang w:eastAsia="ru-RU" w:bidi="ru-RU"/>
              </w:rPr>
              <w:t xml:space="preserve"> год составляет  6568196 рублей, в том числе: 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Российской Федерации и за счет бюджета Курской области  – 6241629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города Обояни –  126567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Общий объем финансирования мероприятий программы на </w:t>
            </w:r>
            <w:r>
              <w:rPr>
                <w:rFonts w:ascii="Times New Roman" w:hAnsi="Times New Roman" w:eastAsia="Times New Roman"/>
                <w:b/>
                <w:bCs/>
                <w:shd w:val="clear" w:fill="FFFF99"/>
                <w:lang w:eastAsia="ru-RU" w:bidi="ru-RU"/>
              </w:rPr>
              <w:t>2023</w:t>
            </w: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 год составляет  100000</w:t>
            </w:r>
            <w:r>
              <w:rPr>
                <w:rFonts w:ascii="Times New Roman" w:hAnsi="Times New Roman" w:eastAsia="Times New Roman"/>
                <w:shd w:val="clear" w:fill="FFFF99"/>
                <w:lang w:eastAsia="ru-RU" w:bidi="ru-RU"/>
              </w:rPr>
              <w:t xml:space="preserve">,00 </w:t>
            </w: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рублей, в том числе: 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Российской Федерации и за счет бюджета Курской области  –0,00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города Обояни –  100000 ,00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Общий объем финансирования мероприятий программы на </w:t>
            </w:r>
            <w:r>
              <w:rPr>
                <w:rFonts w:ascii="Times New Roman" w:hAnsi="Times New Roman" w:eastAsia="Times New Roman"/>
                <w:b/>
                <w:bCs/>
                <w:shd w:val="clear" w:fill="FFFF99"/>
                <w:lang w:eastAsia="ru-RU" w:bidi="ru-RU"/>
              </w:rPr>
              <w:t>2024</w:t>
            </w: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 год составляет  100 000</w:t>
            </w:r>
            <w:r>
              <w:rPr>
                <w:rFonts w:ascii="Times New Roman" w:hAnsi="Times New Roman" w:eastAsia="Times New Roman"/>
                <w:shd w:val="clear" w:fill="FFFF99"/>
                <w:lang w:eastAsia="ru-RU" w:bidi="ru-RU"/>
              </w:rPr>
              <w:t xml:space="preserve">,00 </w:t>
            </w: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рублей, в том числе: 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Российской Федерации и за счет бюджета Курской области  –0,00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города Обояни –   100000 ,00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 Собрания депутатов города Обояни о бюджете города Обояни на очередной финансовый год и плановый период. 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/>
                <w:lang w:eastAsia="ru-RU" w:bidi="ru-RU"/>
              </w:rPr>
            </w:pPr>
            <w:r>
              <w:rPr>
                <w:rFonts w:ascii="Times New Roman" w:hAnsi="Times New Roman" w:eastAsia="Times New Roman"/>
                <w:lang w:eastAsia="ru-RU" w:bidi="ru-RU"/>
              </w:rPr>
              <w:t>Ресурсное обеспечение программы за счет всех источников финансирования подлежит уточнению в рамках бюджетного цикла.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 xml:space="preserve">Ожидаемые результаты реализации Программы 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/>
                <w:lang w:eastAsia="ru-RU" w:bidi="ru-RU"/>
              </w:rPr>
            </w:pPr>
            <w:r>
              <w:rPr>
                <w:rFonts w:ascii="Times New Roman" w:hAnsi="Times New Roman" w:eastAsia="Times New Roman"/>
                <w:lang w:eastAsia="ru-RU" w:bidi="ru-RU"/>
              </w:rPr>
              <w:t>Конечным результатом реализации программы является формирование комфортной для проживания и современной 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территорий.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/>
                <w:lang w:eastAsia="ru-RU" w:bidi="ru-RU"/>
              </w:rPr>
            </w:pPr>
            <w:r>
              <w:rPr>
                <w:rFonts w:ascii="Times New Roman" w:hAnsi="Times New Roman" w:eastAsia="Times New Roman"/>
                <w:lang w:eastAsia="ru-RU" w:bidi="ru-RU"/>
              </w:rPr>
              <w:t>Социальным эффектом реализации программы станет широкое вовлечение граждан, организаций в реализацию мероприятий по благоустройству муниципальных территорий.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Управление Программой</w:t>
            </w:r>
          </w:p>
        </w:tc>
        <w:tc>
          <w:tcPr>
            <w:tcW w:w="808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Координацию деятельности соисполнителей мероприятий программы по: подготовке и реализации программных мероприятий; осуществлению ежеквартального мониторинга хода реализации муниципальной программы; предоставлению отчетности о достижении целевых показателей (индикаторов) муниципальной программы осуществляет Администрация города Обояни.</w:t>
            </w:r>
          </w:p>
        </w:tc>
      </w:tr>
    </w:tbl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contextualSpacing/>
        <w:jc w:val="center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Характеристика состояния сферы благоустройства.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Муниципальная программа «Формирование современной городской среды на территории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 w:bidi="ru-RU"/>
        </w:rPr>
        <w:t>муниципального образования «город Обоянь» Обоянского района Курской области на 2022-2024 годы» 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далее - Программа)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 w:bidi="ru-RU"/>
        </w:rPr>
        <w:t>направлена на повышение уровня благоустройст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ва общественных территорий города Обояни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. </w:t>
      </w:r>
    </w:p>
    <w:p>
      <w:pPr>
        <w:spacing w:before="0" w:after="0" w:line="240" w:lineRule="auto"/>
        <w:ind w:firstLine="900"/>
        <w:jc w:val="center"/>
      </w:pPr>
      <w:r>
        <w:rPr>
          <w:rFonts w:ascii="Times New Roman" w:hAnsi="Times New Roman"/>
          <w:sz w:val="28"/>
          <w:szCs w:val="28"/>
        </w:rPr>
        <w:t>1. Характеристика сферы благоустройства общественных территорий.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облик города, его эстетический вид во многом зависят от степени благоустроенности территории, от площади озеленения.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Общественные территории – это </w:t>
      </w:r>
      <w:r>
        <w:rPr>
          <w:rFonts w:ascii="Times New Roman" w:hAnsi="Times New Roman"/>
          <w:spacing w:val="2"/>
          <w:sz w:val="28"/>
          <w:szCs w:val="28"/>
          <w:shd w:val="clear" w:fill="FFFFFF"/>
        </w:rPr>
        <w:t>территории муниципального образования соответствующего функционального назначения (площади, набережные, пешеходные зоны, улицы, скверы, парки, иные территории).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территории современного города является неотъемлемой частью развития как вновь осваиваемых участков, так и существующей застройки. Зеленые насаждения в городском пространстве играют несколько важных ролей: социальную, рекреационную, санитарно-гигиеническую, эстетическую, ландшафтно-архитектурную.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pacing w:val="2"/>
          <w:sz w:val="28"/>
          <w:szCs w:val="28"/>
          <w:shd w:val="clear" w:fill="FFFFFF"/>
        </w:rPr>
      </w:pPr>
      <w:r>
        <w:rPr>
          <w:rFonts w:ascii="Times New Roman" w:hAnsi="Times New Roman"/>
          <w:sz w:val="28"/>
          <w:szCs w:val="28"/>
        </w:rPr>
        <w:t xml:space="preserve">На территории города </w:t>
      </w:r>
      <w:r>
        <w:rPr>
          <w:rFonts w:ascii="Times New Roman" w:hAnsi="Times New Roman"/>
          <w:spacing w:val="2"/>
          <w:sz w:val="28"/>
          <w:szCs w:val="28"/>
          <w:shd w:val="clear" w:fill="FFFFFF"/>
        </w:rPr>
        <w:t>за счет разных источников финансирования проводились работы по благоустройству общественных территорий различного функционального назначения.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Однако в городе наблюдается нехватка благоустроенных зеленых зон для отдыха и занятия спортом. Озелененные территории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соответствии со Сводом правил «Градостроительство. Планировка и застройка городских и сельских поселений» (СП 42.13330.2016 «СНиП 2.07.01-89*), направленным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 городских и сельских поселениях 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 Суммарная площадь озелененных территорий общего пользования – парков, лесопарков, садов, скверов, бульваров и др. должна быть не менее 16 кв. м./человека.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состояние и развитие парков, скверов, набережных;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сокращение зеленых насаждений;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отсутствие инфраструктуры для различных групп пользователей, в т.ч. для маломобильных групп населения;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замусоренность территорий.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приведение парков, скверов, набережных,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проблема паркинга требует продуманных решений;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обеспечение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trike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привитие жителям любви и уважения к своему городу, к соблюдению чистоты и порядка на территории города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 к собственному муниципальному образованию.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благоустройства общественных территорий целесообразно проведение таких мероприятий, как озеленение, уход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Выполнение всего комплекса работ, предусмотренных Программой, повысит благоустройство и придаст привлекательность общественным территориям города Обояни.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В 2022-2024 гг. благоустройство общественных территорий (площади, набережные, улицы, пешеходные зоны, скверы, парки, иные территории)  и дворовых территорий будет реализовано с учетом комплексного подхода. 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предусматривает:  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размещение детских игровых площадок;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размещение спортивной площадки;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благоустройство тротуаров;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ремонт, реконструкция памятников. 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адресного перечня, включаемого в Программу, необходимо руководствоваться правилом первоочередного включения пространств, благоустройство которых будет иметь наибольший эффект с точки зрения создания удобств для горожан, повышения привлекательности города для гостей и развития предпринимательства.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Благоустройство  общественных территорий выполняется с учетом 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«город Обоянь» в  2022-2024  годах общественной территории, подлежащей благоустройству в 2022-2024 годах, утвержденного постановлением Администрации города Обояни.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общественных территорий включает в себя: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перечня общественных территорий, подлежащих благоустройству;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проектной и сметной документации по объектам, благоустройство  которых запланировано и будет проводиться в рамках реализации Программы.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мероприятий по благоустройству общественных территорий. 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 города Обояни, нуждающихся в благоустройстве и подлежащих благоустройству в 2022-2024гг., формируется по итогам инвентаризации общественных  территорий. 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Муниципальное образование «город Обоянь» Обоянского района Курской области вправе исключить из адресного перечня 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  для  муниципальных или государственных нужд в соответствии  с генеральным планом соответствующего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  в порядке, установленном такой комиссией.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Проведение мероприятий по благоустройству общественных территорий города Обояни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Применение программного метода позволит поэтапно осуществлять комплексное благоустройство дворовых и общественных территорий   с учетом мнения граждан, а именно: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запустит реализацию механизма поддержки мероприятий по благоустройству, инициированных гражданами;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запустит механизм финансового и трудового участия граждан  и организаций  в реализации мероприятий по благоустройству;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сформирует инструменты общественного контроля за реализацией мероприятий по благоустройству на территории города Обояни.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Предельная дата заключения соглашений (муниципальных контрактов) на выполнение работ по благоустройству общественных и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2. Приоритеты, цели и задачи Программы.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shd w:val="clear" w:fill="FFFFFF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>
        <w:rPr>
          <w:rFonts w:ascii="Times New Roman" w:hAnsi="Times New Roman" w:eastAsia="Times New Roman"/>
          <w:sz w:val="28"/>
          <w:szCs w:val="28"/>
          <w:shd w:val="clear" w:fill="FFFFFF"/>
          <w:lang w:eastAsia="ru-RU" w:bidi="ru-RU"/>
        </w:rPr>
        <w:t>комплексное развитие современной городской инфраструктуры на основе единых подходов.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городского поселения отнесены вопросы создания условий для массового отдыха жителей городского поселения и организации обустройства мест массового отдыха населения;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Основной целью Программы является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повышение качества, комфорта, функциональности и эстетики городской среды на территории муниципального образования «город Обоянь» Обоянского района Курской области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Для достижения поставленной цели определены следующие задачи:</w:t>
      </w:r>
    </w:p>
    <w:p>
      <w:pPr>
        <w:widowControl w:val="0"/>
        <w:spacing w:before="0" w:after="0" w:line="240" w:lineRule="auto"/>
        <w:ind w:firstLine="90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2) повышение уровня вовлеченности заинтересованных граждан, организаций в реализацию мероприятий по благоустройству территорий города.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2022-2024 годы, утвержденных приказом Министерства строительства и жилищно-коммунального хозяйства от 6 апреля 2017 года № 691/пр.</w:t>
      </w:r>
    </w:p>
    <w:p>
      <w:pPr>
        <w:widowControl w:val="0"/>
        <w:tabs>
          <w:tab w:val="left" w:pos="851"/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В целях количественной оценки достижения целей и задач Программы определены следующие целевые показатели (индикаторы):</w:t>
      </w:r>
    </w:p>
    <w:p>
      <w:pPr>
        <w:pStyle w:val="35"/>
        <w:widowControl w:val="0"/>
        <w:tabs>
          <w:tab w:val="left" w:pos="33"/>
        </w:tabs>
        <w:spacing w:before="0" w:after="0" w:line="240" w:lineRule="auto"/>
        <w:ind w:left="0"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1.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>
      <w:pPr>
        <w:widowControl w:val="0"/>
        <w:tabs>
          <w:tab w:val="left" w:pos="1134"/>
        </w:tabs>
        <w:spacing w:before="0" w:after="0" w:line="240" w:lineRule="auto"/>
        <w:ind w:firstLine="567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2.Доля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2. Количество благоустроенных общественных территорий.</w:t>
      </w:r>
    </w:p>
    <w:p>
      <w:pPr>
        <w:widowControl w:val="0"/>
        <w:tabs>
          <w:tab w:val="left" w:pos="567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Количество показателей (индикаторов) Программы формируется исходя из принципов необходимости и достаточности для достижения целей и решения поставленных задач.</w:t>
      </w:r>
    </w:p>
    <w:p>
      <w:pPr>
        <w:widowControl w:val="0"/>
        <w:tabs>
          <w:tab w:val="left" w:pos="567"/>
        </w:tabs>
        <w:spacing w:before="0" w:after="0" w:line="240" w:lineRule="auto"/>
        <w:ind w:firstLine="567"/>
        <w:jc w:val="both"/>
      </w:pPr>
      <w:r>
        <w:rPr>
          <w:rFonts w:ascii="Times New Roman" w:hAnsi="Times New Roman" w:eastAsia="Times New Roman"/>
          <w:b/>
          <w:bCs/>
          <w:i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Показатель 1</w:t>
      </w:r>
      <w:r>
        <w:rPr>
          <w:rFonts w:ascii="Times New Roman" w:hAnsi="Times New Roman" w:eastAsia="Times New Roman"/>
          <w:b/>
          <w:bCs/>
          <w:i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</w:r>
    </w:p>
    <w:p>
      <w:pPr>
        <w:widowControl w:val="0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tbl>
      <w:tblPr>
        <w:tblStyle w:val="3"/>
        <w:tblW w:w="10004" w:type="dxa"/>
        <w:tblInd w:w="-20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62"/>
        <w:gridCol w:w="3963"/>
        <w:gridCol w:w="5479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1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Наименование показателя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2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Единица измерения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Процент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3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Определение показателя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4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Временные характеристики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Ежегодно по состоянию на конец года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5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6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Ответственный за сбор и предоставление информации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Администрация города Обояни</w:t>
            </w:r>
          </w:p>
        </w:tc>
      </w:tr>
    </w:tbl>
    <w:p>
      <w:pPr>
        <w:widowControl w:val="0"/>
        <w:tabs>
          <w:tab w:val="left" w:pos="1134"/>
        </w:tabs>
        <w:spacing w:before="0" w:after="0" w:line="240" w:lineRule="auto"/>
        <w:ind w:firstLine="567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2.Доля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</w:r>
    </w:p>
    <w:p>
      <w:pPr>
        <w:widowControl w:val="0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tbl>
      <w:tblPr>
        <w:tblStyle w:val="3"/>
        <w:tblW w:w="10004" w:type="dxa"/>
        <w:tblInd w:w="-20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62"/>
        <w:gridCol w:w="3963"/>
        <w:gridCol w:w="5479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1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Наименование показателя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/>
                <w:bCs/>
                <w:sz w:val="22"/>
                <w:szCs w:val="22"/>
                <w:lang w:eastAsia="ru-RU" w:bidi="ru-RU"/>
              </w:rPr>
              <w:t>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2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Единица измерения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Процент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3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Определение показателя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4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Временные характеристики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Ежегодно по состоянию на конец года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5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6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Ответственный за сбор и предоставление информации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Администрация города Обояни</w:t>
            </w:r>
          </w:p>
        </w:tc>
      </w:tr>
    </w:tbl>
    <w:p>
      <w:pPr>
        <w:widowControl w:val="0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tabs>
          <w:tab w:val="left" w:pos="567"/>
        </w:tabs>
        <w:spacing w:before="0" w:after="0" w:line="240" w:lineRule="auto"/>
        <w:ind w:firstLine="567"/>
        <w:jc w:val="center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Показатель 3</w:t>
      </w:r>
      <w:r>
        <w:rPr>
          <w:rFonts w:ascii="Times New Roman" w:hAnsi="Times New Roman" w:eastAsia="Times New Roman"/>
          <w:b/>
          <w:bCs/>
          <w:i/>
          <w:sz w:val="28"/>
          <w:szCs w:val="28"/>
          <w:lang w:eastAsia="ru-RU" w:bidi="ru-RU"/>
        </w:rPr>
        <w:t>«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Количество благоустроенных общественных территорий»</w:t>
      </w:r>
    </w:p>
    <w:tbl>
      <w:tblPr>
        <w:tblStyle w:val="3"/>
        <w:tblW w:w="9570" w:type="dxa"/>
        <w:tblInd w:w="-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400"/>
        <w:gridCol w:w="3962"/>
        <w:gridCol w:w="520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1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Наименование показателя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Количество благоустроенных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2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Единица измерения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Единиц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3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Определение показателя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4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Временные характеристики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Ежегодно по состоянию на конец года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5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6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  <w:rPr>
                <w:rFonts w:ascii="Times New Roman" w:hAnsi="Times New Roman" w:eastAsia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Ответственный за сбор и предоставление информации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Администрация города Обоянь</w:t>
            </w:r>
          </w:p>
        </w:tc>
      </w:tr>
    </w:tbl>
    <w:p>
      <w:pPr>
        <w:widowControl w:val="0"/>
        <w:tabs>
          <w:tab w:val="left" w:pos="567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4. Сроки реализации Программы.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Программа реализуется в период 2022-2024 годы. Этапы реализации Программы не выделяются.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рамках Программы осуществляется основное мероприятие – реализация мероприятий в сфере формирования современной городской среды.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В рамках основного мероприятия осуществляются следующие мероприятия: </w:t>
      </w:r>
    </w:p>
    <w:p>
      <w:pPr>
        <w:pStyle w:val="35"/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720" w:hanging="360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1) Благоустройство общественных территорий города Обояни в соответствии с проектом благоустройства наиболее посещаемой общественной территории населенного пункта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.</w:t>
      </w:r>
    </w:p>
    <w:p>
      <w:pPr>
        <w:tabs>
          <w:tab w:val="left" w:pos="1134"/>
        </w:tabs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>
      <w:pPr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в соответствии с требованиями, установленными нормативным актом Курской области;</w:t>
      </w:r>
    </w:p>
    <w:p>
      <w:pPr>
        <w:widowControl w:val="0"/>
        <w:tabs>
          <w:tab w:val="left" w:pos="0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рассмотрение и оценка предложений граждан, организаций на включение в адресный перечень всех общественных территорий, нуждающихся в благоустройстве и подлежащих благоустройству в 2022-2024гг. в соответствии с Порядком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 муниципального образования «город Обоянь» Обоянского района Курской области в 2022-2024 годах общественной территории, подлежащей благоустройству в 2022-2024 годах, утвержденным Постановлением Администрации города Обояни;</w:t>
      </w:r>
    </w:p>
    <w:p>
      <w:pPr>
        <w:widowControl w:val="0"/>
        <w:tabs>
          <w:tab w:val="left" w:pos="0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>
      <w:pPr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выполнение работ по благоустройству общественных территорий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               (в том числе, устройство и ремонт пешеходных тротуаров и дорожек, благоустройство территории с размещением детской площадки, спортивной площадкт.);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ab/>
      </w:r>
    </w:p>
    <w:p>
      <w:pPr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3) Благоустройство объектов культурного наследия (памятников погибших при защите Отечества )</w:t>
      </w:r>
    </w:p>
    <w:p>
      <w:pPr>
        <w:widowControl w:val="0"/>
        <w:tabs>
          <w:tab w:val="left" w:pos="993"/>
        </w:tabs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4) Вовлечение граждан, организаций в реализацию мероприятий в сфере формирования современной городской среды.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информирование граждан о проводимых мероприятиях   по благоустройству  общественных территорий;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софинансирование мероприятий по благоустройству общественных территорий;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обсуждение общественных территорий, подлежащих благоустройству;</w:t>
      </w:r>
    </w:p>
    <w:p>
      <w:pPr>
        <w:widowControl w:val="0"/>
        <w:tabs>
          <w:tab w:val="left" w:pos="284"/>
          <w:tab w:val="left" w:pos="993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5) Публикация материалов в местных СМИ, мониторинг работы в ГИС ЖКХ. 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6. Ресурсное обеспечение Программы.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города Обояни и иных источников в соответствии с действующим законодательством.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2022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год составляет  6568196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–6241629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города Обояни –   126567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2023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год составляет  100000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,00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>
      <w:pPr>
        <w:widowControl w:val="0"/>
        <w:spacing w:before="0" w:after="0" w:line="240" w:lineRule="auto"/>
        <w:ind w:firstLine="900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–0,00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города Обояни –  100000 ,00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2024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год составляет  100000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,00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>
      <w:pPr>
        <w:widowControl w:val="0"/>
        <w:spacing w:before="0" w:after="0" w:line="240" w:lineRule="auto"/>
        <w:ind w:firstLine="900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–0,00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города Обояни – 100000 ,00 руб.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Решением  Собрания депутатов города Обояни о бюджете города Обояни» на очередной финансовый год и плановый период. </w:t>
      </w:r>
    </w:p>
    <w:p>
      <w:pPr>
        <w:widowControl w:val="0"/>
        <w:spacing w:before="0" w:after="0" w:line="240" w:lineRule="auto"/>
        <w:ind w:firstLine="900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Ресурсное обеспечение программы за счет всех источников финансирования подлежит уточнению        в рамках бюджетного цикла.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Прогнозная оценка ресурсного обеспечения реализации Программы       за счет всех источников финансирования приводится в Приложении № 3 к Программе.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Необходимо отметить, к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безвозмездным поступлениям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Программы относятся средства организаций и лиц, привлекаемые   на добровольной и безвозмездной основе для финансирования мероприятий, способствующих благоустройству дворовых  территорий, 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также </w:t>
      </w:r>
      <w:r>
        <w:rPr>
          <w:rFonts w:ascii="Times New Roman" w:hAnsi="Times New Roman"/>
          <w:sz w:val="28"/>
          <w:szCs w:val="28"/>
          <w:lang w:eastAsia="ru-RU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7. Анализ рисков и меры управления рисками.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709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В рамках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реализации Программы можно выделить следующие риски, оказывающие влияние на достижение цели и задач Программы.</w:t>
      </w:r>
    </w:p>
    <w:p>
      <w:pPr>
        <w:pStyle w:val="35"/>
        <w:keepNext/>
        <w:widowControl w:val="0"/>
        <w:tabs>
          <w:tab w:val="left" w:pos="1134"/>
        </w:tabs>
        <w:spacing w:before="0" w:after="0" w:line="240" w:lineRule="auto"/>
        <w:ind w:left="927"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1. Бюджетные риски.</w:t>
      </w: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Бюджетные риски связаны с ограниченностью бюджетных ресурсов, возможностью невыполнения своих обязательств по софинансированию мероприятий Программы. </w:t>
      </w: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Меры по предотвращению рисков:</w:t>
      </w:r>
    </w:p>
    <w:p>
      <w:pPr>
        <w:shd w:val="clear" w:color="FFFFFF" w:themeColor="dark1" w:themeShade="00" w:themeTint="00" w:fill="FFFFFF" w:themeFill="dark1" w:themeFillShade="00" w:themeFillTint="00"/>
        <w:tabs>
          <w:tab w:val="left" w:pos="993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требуемые объемы бюджетного финансирования обосновываются   в рамках бюджетного цикла, проводится оценка потребности  в предоставлении муниципальных услуг (выполнении работ);</w:t>
      </w:r>
    </w:p>
    <w:p>
      <w:pPr>
        <w:shd w:val="clear" w:color="FFFFFF" w:themeColor="dark1" w:themeShade="00" w:themeTint="00" w:fill="FFFFFF" w:themeFill="dark1" w:themeFillShade="00" w:themeFillTint="00"/>
        <w:tabs>
          <w:tab w:val="left" w:pos="993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>
      <w:pPr>
        <w:shd w:val="clear" w:color="FFFFFF" w:themeColor="dark1" w:themeShade="00" w:themeTint="00" w:fill="FFFFFF" w:themeFill="dark1" w:themeFillShade="00" w:themeFillTint="00"/>
        <w:tabs>
          <w:tab w:val="left" w:pos="993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>
      <w:pPr>
        <w:pStyle w:val="35"/>
        <w:widowControl w:val="0"/>
        <w:tabs>
          <w:tab w:val="left" w:pos="1134"/>
        </w:tabs>
        <w:spacing w:before="0" w:after="0" w:line="240" w:lineRule="auto"/>
        <w:ind w:left="927"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2. Организационно-управленческие риски.</w:t>
      </w: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Данная группа рисков связана с необходимостью вовлечения в процесс благоустройства территории города многих участников: организаций различных форм собственности, индивидуальных предпринимателей, жителей города.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Меры по предотвращению рисков: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выбор исполнителей мероприятий Программы на конкурсной основе;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событий;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составление планов работ, контроль  за их исполнением, закрепление персональной ответственности должностных лиц, специалистов  за выполнение мероприятий Программы и достижение целевых показателей (индикаторов) Программы.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Программы;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невыполнение целевых индикаторов и показателей Программы.</w:t>
      </w:r>
    </w:p>
    <w:p>
      <w:pPr>
        <w:spacing w:before="0" w:after="0" w:line="240" w:lineRule="auto"/>
        <w:ind w:left="142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Программы.</w:t>
      </w:r>
    </w:p>
    <w:p>
      <w:pPr>
        <w:pStyle w:val="35"/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left="927"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3. Социальные риски.</w:t>
      </w:r>
    </w:p>
    <w:p>
      <w:pPr>
        <w:widowControl w:val="0"/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>
      <w:pPr>
        <w:widowControl w:val="0"/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Меры по предотвращению рисков: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широкое информирование мероприятий по благоустройству; 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привлечение населения к проведению мероприятий по благоустройству;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привлечение организаций, студенческих отрядов к выполнению работ по благоустройству.</w:t>
      </w:r>
    </w:p>
    <w:p>
      <w:pPr>
        <w:widowControl w:val="0"/>
        <w:tabs>
          <w:tab w:val="left" w:pos="993"/>
        </w:tabs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8. Ожидаемые результаты реализации Программы, 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оценка эффективности её реализации.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Программа направлена на повышение комфорта, безопасности и эстетики городской среды. 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эффективности Программы осуществляется ежегодно по следующим направлениям: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>
      <w:pPr>
        <w:spacing w:before="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степень достижения целевых показателей Программы.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 СРм = Мв / М,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где: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СРм - степень реализации мероприятий;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 в отчетном году.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Мероприятие может считаться выполненным в полном объеме    при достижении следующих результатов: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по иным мероприятиям результаты реализации могут оцениваться  как наступление или не наступление контрольного события (событий) и (или) достижение качественного результата (оценка проводится экспертно).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ССуз = Зф / Зп,где: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ССуз - степень соответствия запланированному уровню расходов;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Зф - фактические расходы на реализацию муниципальной программы в отчетном году;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Зп - плановые расходы на реализацию муниципальной программы в отчетном году.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Эис = СРм / ССуз,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где: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Эис - эффективность использования средств областного бюджета;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 СДпз = ЗПф / ЗПп,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где: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Ожидаемые результаты при выполнении мероприятий Программы: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благоустройство 5 общественных территорий города Обояни;</w:t>
      </w:r>
    </w:p>
    <w:p>
      <w:pPr>
        <w:spacing w:before="0" w:after="0" w:line="240" w:lineRule="auto"/>
        <w:ind w:firstLine="90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вовлечение граждан, организаций в реализацию мероприятий  в сфере формирования современной городской среды путем софинансирования мероприятий по благоустройству дворовых территорий, обсуждения общественных территорий, подлежащих благоустройству, трудового участия граждан, организаций и иных лиц в реализации мероприятий по благоустройству.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9. Управление Программой, контроль за ее реализацией и порядок отчетности.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both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Программа при необходимости может корректироваться. </w:t>
      </w:r>
    </w:p>
    <w:p>
      <w:pPr>
        <w:tabs>
          <w:tab w:val="left" w:pos="5103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Общее руководство и управление Программой осуществляет Администрация города Обояни.</w:t>
      </w:r>
    </w:p>
    <w:p>
      <w:pPr>
        <w:tabs>
          <w:tab w:val="left" w:pos="5103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Администрация города Обояни направляет квартальную отчетность в комитет ЖКХ и ТЭК Курской области  в соответствии с заключенным Соглашением.</w:t>
      </w:r>
      <w:r>
        <w:br w:type="page"/>
      </w:r>
    </w:p>
    <w:p>
      <w:pPr>
        <w:pStyle w:val="14"/>
        <w:jc w:val="center"/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Паспорт                                            </w:t>
      </w:r>
    </w:p>
    <w:p>
      <w:pPr>
        <w:keepNext/>
        <w:widowControl w:val="0"/>
        <w:tabs>
          <w:tab w:val="left" w:pos="9637"/>
        </w:tabs>
        <w:spacing w:before="0" w:after="0" w:line="240" w:lineRule="auto"/>
        <w:jc w:val="center"/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 муниципальной подпрограммы «Создание условий для формирования современной городской среды» муниципальной программы «Формирование современной городской среды на территории  муниципального образования «город Обоянь» Обоянского района Курской области на 2022-2024 годы»</w:t>
      </w:r>
    </w:p>
    <w:tbl>
      <w:tblPr>
        <w:tblStyle w:val="3"/>
        <w:tblW w:w="9775" w:type="dxa"/>
        <w:tblInd w:w="-5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1870"/>
        <w:gridCol w:w="79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60" w:after="6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Наименование муниципальной подпрограммы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8"/>
                <w:lang w:eastAsia="ru-RU" w:bidi="ru-RU"/>
              </w:rPr>
              <w:t xml:space="preserve">«Создание условий для формирования современной городской среды» муниципальной программы 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 w:bidi="ru-RU"/>
              </w:rPr>
              <w:t>«Формирование современной городской среды на территории муниципального образования «город Обоянь» Обоянского района Курской области на 2022-2024 годы»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Ответственный исполнитель подпрограммы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Администрация города Обояни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Участники подпрограммы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/>
              </w:rPr>
              <w:t>Администрация города Обояни, граждане, их объединения, заинтересованные лица, общественные организации, подрядные организации, определенные по итогам осуществления закупки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Цель подпрограммы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lang w:eastAsia="ru-RU" w:bidi="ru-RU"/>
              </w:rPr>
              <w:t xml:space="preserve">Повышение качества, комфорта, функциональности и эстетики городской среды на территории 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 w:bidi="ru-RU"/>
              </w:rPr>
              <w:t xml:space="preserve"> муниципального образования «город Обоянь» Обоянского района Курской области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Задачи подпрограммы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территорий города.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Целевые показатели (индикаторы) подпрограммы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1134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1. Доля реализованных комплексных проектов благоустройства общественных территорий (спортивные площадки, детские площадки и т.д.) в общем количестве реализованных в течение планового года проектов благоустройства общественных территорий;</w:t>
            </w:r>
          </w:p>
          <w:p>
            <w:pPr>
              <w:widowControl w:val="0"/>
              <w:tabs>
                <w:tab w:val="left" w:pos="1134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2.Доля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      </w:r>
          </w:p>
          <w:p>
            <w:pPr>
              <w:widowControl w:val="0"/>
              <w:tabs>
                <w:tab w:val="left" w:pos="1134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3.Количество благоустроенных общественных территорий.</w:t>
            </w:r>
          </w:p>
          <w:p>
            <w:pPr>
              <w:widowControl w:val="0"/>
              <w:tabs>
                <w:tab w:val="left" w:pos="1134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ru-RU" w:eastAsia="ru-RU" w:bidi="ru-RU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Сроки реализации подпрограммы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Срок реализации – 2022-2024 годы.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Этапы реализации программы не выделяются.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Объемы бюджетных ассигнований подпрограммы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 xml:space="preserve">Общий объем финансирования мероприятий подпрограммы на </w:t>
            </w:r>
            <w:r>
              <w:rPr>
                <w:rFonts w:ascii="Times New Roman" w:hAnsi="Times New Roman" w:eastAsia="Times New Roman"/>
                <w:b/>
                <w:bCs/>
                <w:lang w:eastAsia="ru-RU" w:bidi="ru-RU"/>
              </w:rPr>
              <w:t>2022</w:t>
            </w:r>
            <w:r>
              <w:rPr>
                <w:rFonts w:ascii="Times New Roman" w:hAnsi="Times New Roman" w:eastAsia="Times New Roman"/>
                <w:bCs/>
                <w:lang w:eastAsia="ru-RU" w:bidi="ru-RU"/>
              </w:rPr>
              <w:t xml:space="preserve"> год составляет  6568196 рублей, в том числе: 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Российской Федерации и за счет бюджета Курской области  – 6241629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города Обояни –  126567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Общий объем финансирования мероприятий подпрограммы на </w:t>
            </w:r>
            <w:r>
              <w:rPr>
                <w:rFonts w:ascii="Times New Roman" w:hAnsi="Times New Roman" w:eastAsia="Times New Roman"/>
                <w:b/>
                <w:bCs/>
                <w:shd w:val="clear" w:fill="FFFF99"/>
                <w:lang w:eastAsia="ru-RU" w:bidi="ru-RU"/>
              </w:rPr>
              <w:t>2023</w:t>
            </w: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 год составляет  100000</w:t>
            </w:r>
            <w:r>
              <w:rPr>
                <w:rFonts w:ascii="Times New Roman" w:hAnsi="Times New Roman" w:eastAsia="Times New Roman"/>
                <w:shd w:val="clear" w:fill="FFFF99"/>
                <w:lang w:eastAsia="ru-RU" w:bidi="ru-RU"/>
              </w:rPr>
              <w:t xml:space="preserve">,00 </w:t>
            </w: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рублей, в том числе: 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Российской Федерации и за счет бюджета Курской области  –0,00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города Обояни –  100000 ,00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Общий объем финансирования мероприятий подпрограммы на </w:t>
            </w:r>
            <w:r>
              <w:rPr>
                <w:rFonts w:ascii="Times New Roman" w:hAnsi="Times New Roman" w:eastAsia="Times New Roman"/>
                <w:b/>
                <w:bCs/>
                <w:shd w:val="clear" w:fill="FFFF99"/>
                <w:lang w:eastAsia="ru-RU" w:bidi="ru-RU"/>
              </w:rPr>
              <w:t>2024</w:t>
            </w: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 год составляет  100 000</w:t>
            </w:r>
            <w:r>
              <w:rPr>
                <w:rFonts w:ascii="Times New Roman" w:hAnsi="Times New Roman" w:eastAsia="Times New Roman"/>
                <w:shd w:val="clear" w:fill="FFFF99"/>
                <w:lang w:eastAsia="ru-RU" w:bidi="ru-RU"/>
              </w:rPr>
              <w:t xml:space="preserve">,00 </w:t>
            </w: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 xml:space="preserve">рублей, в том числе: 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Российской Федерации и за счет бюджета Курской области  –0,00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hd w:val="clear" w:fill="FFFF99"/>
                <w:lang w:eastAsia="ru-RU" w:bidi="ru-RU"/>
              </w:rPr>
              <w:t>за счет средств бюджета города Обояни –   100000 ,00 руб.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lang w:eastAsia="ru-RU" w:bidi="ru-RU"/>
              </w:rPr>
              <w:t xml:space="preserve">Объем бюджетных ассигнований на реализацию муниципальной подпрограммы утверждается Решением  Собрания депутатов города Обояни о бюджете города Обояни на очередной финансовый год и плановый период. 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lang w:eastAsia="ru-RU" w:bidi="ru-RU"/>
              </w:rPr>
              <w:t>Ресурсное обеспечение подпрограммы за счет всех источников финансирования подлежит уточнению в рамках бюджетного цикла.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 xml:space="preserve">Ожидаемые результаты реализации Подпрограммы 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lang w:eastAsia="ru-RU" w:bidi="ru-RU"/>
              </w:rPr>
              <w:t>Конечным результатом реализации подпрограммы является формирование комфортной для проживания и современной 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территорий.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lang w:eastAsia="ru-RU" w:bidi="ru-RU"/>
              </w:rPr>
              <w:t>Социальным эффектом реализации подпрограммы станет широкое вовлечение граждан, организаций в реализацию мероприятий по благоустройству муниципальных территорий.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1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Управление Подпрограммой</w:t>
            </w:r>
          </w:p>
        </w:tc>
        <w:tc>
          <w:tcPr>
            <w:tcW w:w="79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Координацию деятельности соисполнителей мероприятий подпрограммы по: подготовке и реализации программных мероприятий; осуществлению ежеквартального мониторинга хода реализации муниципальной программы; предоставлению отчетности о достижении целевых показателей (индикаторов) муниципальной программы осуществляет Администрация города Обояни.</w:t>
            </w:r>
          </w:p>
        </w:tc>
      </w:tr>
    </w:tbl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contextualSpacing/>
        <w:jc w:val="center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Характеристика состояния сферы благоустройства.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Муниципальная подпрограмма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 w:bidi="ru-RU"/>
        </w:rPr>
        <w:t xml:space="preserve">«Создание условий для формирования современной городской среды»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 w:bidi="ru-RU"/>
        </w:rPr>
        <w:t>муниципального образования «город Обоянь» Обоянского района Курской области на 2022-2024 годы»  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далее - Программа)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 w:bidi="ru-RU"/>
        </w:rPr>
        <w:t>направлена на повышение уровня благоустройст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ва общественных территорий города Обояни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. </w:t>
      </w:r>
    </w:p>
    <w:p>
      <w:pPr>
        <w:spacing w:before="0" w:after="0" w:line="240" w:lineRule="auto"/>
        <w:ind w:firstLine="900"/>
        <w:jc w:val="center"/>
      </w:pPr>
      <w:r>
        <w:rPr>
          <w:rFonts w:ascii="Times New Roman" w:hAnsi="Times New Roman"/>
          <w:sz w:val="28"/>
          <w:szCs w:val="28"/>
        </w:rPr>
        <w:t>1. Характеристика сферы благоустройства общественных территорий.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Внешний облик города, его эстетический вид во многом зависят от степени благоустроенности территории, от площади озеленения.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Общественные территории – это </w:t>
      </w:r>
      <w:r>
        <w:rPr>
          <w:rFonts w:ascii="Times New Roman" w:hAnsi="Times New Roman"/>
          <w:spacing w:val="2"/>
          <w:sz w:val="28"/>
          <w:szCs w:val="28"/>
          <w:shd w:val="clear" w:fill="FFFFFF"/>
        </w:rPr>
        <w:t>территории муниципального образования соответствующего функционального назначения (площади, набережные, пешеходные зоны, улицы, скверы, парки, иные территории).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Озеленение территории современного города является неотъемлемой частью развития как вновь осваиваемых участков, так и существующей застройки. Зеленые насаждения в городском пространстве играют несколько важных ролей: социальную, рекреационную, санитарно-гигиеническую, эстетическую, ландшафтно-архитектурную.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На территории города </w:t>
      </w:r>
      <w:r>
        <w:rPr>
          <w:rFonts w:ascii="Times New Roman" w:hAnsi="Times New Roman"/>
          <w:spacing w:val="2"/>
          <w:sz w:val="28"/>
          <w:szCs w:val="28"/>
          <w:shd w:val="clear" w:fill="FFFFFF"/>
        </w:rPr>
        <w:t>за счет разных источников финансирования проводились работы по благоустройству общественных территорий различного функционального назначения.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Однако в городе наблюдается нехватка благоустроенных зеленых зон для отдыха и занятия спортом. Озелененные территории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соответствии со Сводом правил «Градостроительство. Планировка и застройка городских и сельских поселений» (СП 42.13330.2016 «СНиП 2.07.01-89*), направленным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 городских и сельских поселениях 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 Суммарная площадь озелененных территорий общего пользования – парков, лесопарков, садов, скверов, бульваров и др. должна быть не менее 16 кв. м./человека.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состояние и развитие парков, скверов, набережных;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сокращение зеленых насаждений;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отсутствие инфраструктуры для различных групп пользователей, в т.ч. для маломобильных групп населения;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замусоренность территорий.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приведение парков, скверов, набережных,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проблема паркинга требует продуманных решений;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обеспечение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привитие жителям любви и уважения к своему городу, к соблюдению чистоты и порядка на территории города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 к собственному муниципальному образованию.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Для обеспечения благоустройства общественных территорий целесообразно проведение таких мероприятий, как озеленение, уход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Выполнение всего комплекса работ, предусмотренных Подпрограммой, повысит благоустройство и придаст привлекательность общественным территориям города Обояни.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В 2022-2024 гг. благоустройство общественных территорий (площади, набережные, улицы, пешеходные зоны, скверы, парки, иные территории)  и дворовых территорий будет реализовано с учетом комплексного подхода. 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предусматривает:  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размещение детских игровых площадок;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размещение спортивной площадки;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благоустройство тротуаров;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ремонт, реконструкция памятников. 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При формировании адресного перечня, включаемого в Подпрограмму, необходимо руководствоваться правилом первоочередного включения пространств, благоустройство которых будет иметь наибольший эффект с точки зрения создания удобств для горожан, повышения привлекательности города для гостей и развития предпринимательства.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Благоустройство  общественных территорий выполняется с учетом  Порядка представления, рассмотрения и оценки предложений граждан, организаций о включении в муниципальную подпрограмму формирования современной городской среды на территории муниципального образования «город Обоянь» в  2022-2024  годах общественной территории, подлежащей благоустройству в 2022-2024 годах, утвержденного постановлением Администрации города Обояни.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Благоустройство общественных территорий включает в себя: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подготовка перечня общественных территорий, подлежащих благоустройству;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разработку проектной и сметной документации по объектам, благоустройство  которых запланировано и будет проводиться в рамках реализации Подпрограммы.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 реализация мероприятий по благоустройству общественных территорий. 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 города Обояни, нуждающихся в благоустройстве и подлежащих благоустройству в 2022-2024гг., формируется по итогам инвентаризации общественных  территорий. </w:t>
      </w:r>
      <w:r>
        <w:rPr>
          <w:rFonts w:ascii="Times New Roman" w:hAnsi="Times New Roman"/>
          <w:sz w:val="28"/>
          <w:szCs w:val="28"/>
          <w:shd w:val="clear" w:fill="FFFFFF"/>
        </w:rPr>
        <w:t>Примерный перечень указан в Приложении №4 к Подпрограмме.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Муниципальное образование «город Обоянь» Обоянского района Курской области вправе исключить из адресного перечня  общественных территорий, подлежащих благоустройству в рамках реализации Подпрограммы,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  для  муниципальных или государственных нужд в соответствии  с генеральным планом соответствующего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  в порядке, установленном такой комиссией.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Проведение мероприятий по благоустройству общественных территорий города Обояни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Применение программного метода позволит поэтапно осуществлять комплексное благоустройство дворовых и общественных территорий   с учетом мнения граждан, а именно: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запустит реализацию механизма поддержки мероприятий по благоустройству, инициированных гражданами;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запустит механизм финансового и трудового участия граждан  и организаций  в реализации мероприятий по благоустройству;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сформирует инструменты общественного контроля за реализацией мероприятий по благоустройству на территории города Обояни.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Предельная дата заключения соглашений (муниципальных контрактов) на выполнение работ по благоустройству общественных и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2. Приоритеты, цели и задачи Подпрограммы.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>
        <w:rPr>
          <w:rFonts w:ascii="Times New Roman" w:hAnsi="Times New Roman" w:eastAsia="Times New Roman"/>
          <w:sz w:val="28"/>
          <w:szCs w:val="28"/>
          <w:shd w:val="clear" w:fill="FFFFFF"/>
          <w:lang w:eastAsia="ru-RU" w:bidi="ru-RU"/>
        </w:rPr>
        <w:t>комплексное развитие современной городской инфраструктуры на основе единых подходов.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городского поселения отнесены вопросы создания условий для массового отдыха жителей городского поселения и организации обустройства мест массового отдыха населения;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Основной целью Подпрограммы является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повышение качества, комфорта, функциональности и эстетики городской среды на территории муниципального образования «город Обоянь» Обоянского района Курской области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Для достижения поставленной цели определены следующие задачи: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2) повышение уровня вовлеченности заинтересованных граждан, организаций в реализацию мероприятий по благоустройству территорий города.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2022-2024 годы, утвержденных приказом Министерства строительства и жилищно-коммунального хозяйства от 6 апреля 2017 года № 691/пр.</w:t>
      </w:r>
    </w:p>
    <w:p>
      <w:pPr>
        <w:widowControl w:val="0"/>
        <w:tabs>
          <w:tab w:val="left" w:pos="851"/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В целях количественной оценки достижения целей и задач Подпрограммы определены следующие целевые показатели (индикаторы):</w:t>
      </w:r>
    </w:p>
    <w:p>
      <w:pPr>
        <w:pStyle w:val="35"/>
        <w:widowControl w:val="0"/>
        <w:tabs>
          <w:tab w:val="left" w:pos="33"/>
        </w:tabs>
        <w:spacing w:before="0" w:after="0" w:line="240" w:lineRule="auto"/>
        <w:ind w:left="0"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1.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>
      <w:pPr>
        <w:widowControl w:val="0"/>
        <w:tabs>
          <w:tab w:val="left" w:pos="1134"/>
        </w:tabs>
        <w:spacing w:before="0" w:after="0" w:line="240" w:lineRule="auto"/>
        <w:ind w:firstLine="567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2.Доля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2. Количество благоустроенных общественных территорий.</w:t>
      </w:r>
    </w:p>
    <w:p>
      <w:pPr>
        <w:widowControl w:val="0"/>
        <w:tabs>
          <w:tab w:val="left" w:pos="567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Количество показателей (индикаторов) Программы формируется исходя из принципов необходимости и достаточности для достижения целей и решения поставленных задач.</w:t>
      </w:r>
    </w:p>
    <w:p>
      <w:pPr>
        <w:widowControl w:val="0"/>
        <w:tabs>
          <w:tab w:val="left" w:pos="567"/>
        </w:tabs>
        <w:spacing w:before="0" w:after="0" w:line="240" w:lineRule="auto"/>
        <w:ind w:firstLine="567"/>
        <w:jc w:val="both"/>
      </w:pPr>
      <w:r>
        <w:rPr>
          <w:rFonts w:ascii="Times New Roman" w:hAnsi="Times New Roman" w:eastAsia="Times New Roman"/>
          <w:b/>
          <w:bCs/>
          <w:i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Показатель 1</w:t>
      </w:r>
      <w:r>
        <w:rPr>
          <w:rFonts w:ascii="Times New Roman" w:hAnsi="Times New Roman" w:eastAsia="Times New Roman"/>
          <w:b/>
          <w:bCs/>
          <w:i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</w:r>
    </w:p>
    <w:p>
      <w:pPr>
        <w:widowControl w:val="0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tbl>
      <w:tblPr>
        <w:tblStyle w:val="3"/>
        <w:tblW w:w="10004" w:type="dxa"/>
        <w:tblInd w:w="-20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62"/>
        <w:gridCol w:w="3963"/>
        <w:gridCol w:w="5479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1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Наименование показателя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2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Единица измерения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Процент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3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Определение показателя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4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Временные характеристики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Ежегодно по состоянию на конец года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5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6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Ответственный за сбор и предоставление информации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Администрация города Обояни</w:t>
            </w:r>
          </w:p>
        </w:tc>
      </w:tr>
    </w:tbl>
    <w:p>
      <w:pPr>
        <w:widowControl w:val="0"/>
        <w:tabs>
          <w:tab w:val="left" w:pos="1134"/>
        </w:tabs>
        <w:spacing w:before="0" w:after="0" w:line="240" w:lineRule="auto"/>
        <w:ind w:firstLine="567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2.Доля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</w:r>
    </w:p>
    <w:p>
      <w:pPr>
        <w:widowControl w:val="0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tbl>
      <w:tblPr>
        <w:tblStyle w:val="3"/>
        <w:tblW w:w="10004" w:type="dxa"/>
        <w:tblInd w:w="-20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62"/>
        <w:gridCol w:w="3963"/>
        <w:gridCol w:w="5479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1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Наименование показателя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/>
                <w:bCs/>
                <w:sz w:val="22"/>
                <w:szCs w:val="22"/>
                <w:lang w:eastAsia="ru-RU" w:bidi="ru-RU"/>
              </w:rPr>
              <w:t>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2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Единица измерения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Процент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3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Определение показателя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4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Временные характеристики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Ежегодно по состоянию на конец года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5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6</w:t>
            </w:r>
          </w:p>
        </w:tc>
        <w:tc>
          <w:tcPr>
            <w:tcW w:w="39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Ответственный за сбор и предоставление информации</w:t>
            </w:r>
          </w:p>
        </w:tc>
        <w:tc>
          <w:tcPr>
            <w:tcW w:w="54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Администрация города Обояни</w:t>
            </w:r>
          </w:p>
        </w:tc>
      </w:tr>
    </w:tbl>
    <w:p>
      <w:pPr>
        <w:widowControl w:val="0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tabs>
          <w:tab w:val="left" w:pos="567"/>
        </w:tabs>
        <w:spacing w:before="0" w:after="0" w:line="240" w:lineRule="auto"/>
        <w:ind w:firstLine="567"/>
        <w:jc w:val="center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Показатель 3</w:t>
      </w:r>
      <w:r>
        <w:rPr>
          <w:rFonts w:ascii="Times New Roman" w:hAnsi="Times New Roman" w:eastAsia="Times New Roman"/>
          <w:b/>
          <w:bCs/>
          <w:i/>
          <w:sz w:val="28"/>
          <w:szCs w:val="28"/>
          <w:lang w:eastAsia="ru-RU" w:bidi="ru-RU"/>
        </w:rPr>
        <w:t>«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Количество благоустроенных общественных территорий»</w:t>
      </w:r>
    </w:p>
    <w:tbl>
      <w:tblPr>
        <w:tblStyle w:val="3"/>
        <w:tblW w:w="9570" w:type="dxa"/>
        <w:tblInd w:w="-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400"/>
        <w:gridCol w:w="3962"/>
        <w:gridCol w:w="5208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1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Наименование показателя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Количество благоустроенных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2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Единица измерения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Единиц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3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Определение показателя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4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Временные характеристики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Ежегодно по состоянию на конец года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5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4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6</w:t>
            </w:r>
          </w:p>
        </w:tc>
        <w:tc>
          <w:tcPr>
            <w:tcW w:w="3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Ответственный за сбор и предоставление информации</w:t>
            </w:r>
          </w:p>
        </w:tc>
        <w:tc>
          <w:tcPr>
            <w:tcW w:w="520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lang w:eastAsia="ru-RU" w:bidi="ru-RU"/>
              </w:rPr>
              <w:t>Администрация города Обоянь</w:t>
            </w:r>
          </w:p>
        </w:tc>
      </w:tr>
    </w:tbl>
    <w:p>
      <w:pPr>
        <w:widowControl w:val="0"/>
        <w:tabs>
          <w:tab w:val="left" w:pos="567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Сведения о значениях целевых показателей по годам реализации Подпрограммы представлены в Приложении №1 к Подрограмме.</w:t>
      </w:r>
    </w:p>
    <w:p>
      <w:pPr>
        <w:widowControl w:val="0"/>
        <w:spacing w:before="0" w:after="0" w:line="240" w:lineRule="auto"/>
        <w:ind w:firstLine="900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4. Сроки реализации Подпрограммы.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Подпрограмма реализуется в период 2022-2024 годы. Этапы реализации Подпрограммы не выделяются.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5. Основные мероприятия, направленные на достижение целей и задач в сфере реализации Подпрограммы.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рамках Подпрограммы осуществляется основное мероприятие – реализация мероприятий в сфере формирования современной городской среды.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В рамках основного мероприятия осуществляются следующие мероприятия: </w:t>
      </w:r>
    </w:p>
    <w:p>
      <w:pPr>
        <w:pStyle w:val="35"/>
        <w:widowControl w:val="0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720" w:hanging="360"/>
        <w:rPr>
          <w:rFonts w:ascii="Times New Roman" w:hAnsi="Times New Roman" w:eastAsia="Calibri" w:cs="Times New Roman"/>
          <w:color w:val="00000A"/>
          <w:sz w:val="28"/>
          <w:szCs w:val="28"/>
          <w:lang w:val="ru-RU" w:eastAsia="en-US" w:bidi="ar-SA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1) Благоустройство общественных территорий города Обояни в соответствии с проектом благоустройства наиболее посещаемой общественной территории населенного пункта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.</w:t>
      </w:r>
    </w:p>
    <w:p>
      <w:pPr>
        <w:tabs>
          <w:tab w:val="left" w:pos="1134"/>
        </w:tabs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>
      <w:pPr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в соответствии с требованиями, установленными нормативным актом Курской области;</w:t>
      </w:r>
    </w:p>
    <w:p>
      <w:pPr>
        <w:widowControl w:val="0"/>
        <w:tabs>
          <w:tab w:val="left" w:pos="0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рассмотрение и оценка предложений граждан, организаций на включение в адресный перечень всех общественных территорий, нуждающихся в благоустройстве и подлежащих благоустройству в 2022-2024гг. в соответствии с Порядком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 муниципального образования «город Обоянь» Обоянского района Курской области в 2022-2024 годах общественной территории, подлежащей благоустройству в 2022-2024 годах, утвержденным Постановлением Администрации города Обояни;</w:t>
      </w:r>
    </w:p>
    <w:p>
      <w:pPr>
        <w:widowControl w:val="0"/>
        <w:tabs>
          <w:tab w:val="left" w:pos="0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Подпрограммы;</w:t>
      </w:r>
    </w:p>
    <w:p>
      <w:pPr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выполнение работ по благоустройству общественных территорий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               (в том числе, устройство и ремонт пешеходных тротуаров и дорожек, благоустройство территории с размещением детской площадки, спортивной площадки.);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ab/>
      </w:r>
    </w:p>
    <w:p>
      <w:pPr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3) Благоустройство объектов культурного наследия (памятников погибших при защите Отечества )</w:t>
      </w:r>
    </w:p>
    <w:p>
      <w:pPr>
        <w:widowControl w:val="0"/>
        <w:tabs>
          <w:tab w:val="left" w:pos="993"/>
        </w:tabs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4) Вовлечение граждан, организаций в реализацию мероприятий в сфере формирования современной городской среды.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информирование граждан о проводимых мероприятиях   по благоустройству  общественных территорий;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софинансирование мероприятий по благоустройству общественных территорий;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обсуждение общественных территорий, подлежащих благоустройству;</w:t>
      </w:r>
    </w:p>
    <w:p>
      <w:pPr>
        <w:widowControl w:val="0"/>
        <w:tabs>
          <w:tab w:val="left" w:pos="284"/>
          <w:tab w:val="left" w:pos="993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5) Публикация материалов в местных СМИ, мониторинг работы в ГИС ЖКХ. </w:t>
      </w:r>
    </w:p>
    <w:p>
      <w:pPr>
        <w:widowControl w:val="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Сведения об основных мероприятиях Подпрограммы с указанием исполнителей, сроков реализации и ожидаемых результатов представлены  в  Приложении №2 к муниципальной подпрограмме.</w:t>
      </w:r>
    </w:p>
    <w:p>
      <w:pPr>
        <w:widowControl w:val="0"/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6. Ресурсное обеспечение Подпрограммы.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Ресурсное обеспечение реализации подпрограммы предусматривает систему инвестирования с привлечением средств Федерального бюджета, бюджета Курской области, бюджета города Обояни и иных источников в соответствии с действующим законодательством.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подпрограммы на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2022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год составляет 6569196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–6241629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города Обояни –   126567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подпрограммы на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2023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год составляет  100000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,00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–0,00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города Обояни –  100000 ,00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подпрограммы на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2024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год составляет  100000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,00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Российской Федерации и за счет бюджета Курской области  –0,00 руб.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за счет средств бюджета города Обояни – 100000 ,00 руб.</w:t>
      </w: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подпрограммы утверждается Решением  Собрания депутатов города Обояни о бюджете города Обояни» на очередной финансовый год и плановый период. </w:t>
      </w:r>
    </w:p>
    <w:p>
      <w:pPr>
        <w:widowControl w:val="0"/>
        <w:spacing w:before="0" w:after="0" w:line="240" w:lineRule="auto"/>
        <w:ind w:firstLine="900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Ресурсное обеспечение программы за счет всех источников финансирования подлежит уточнению        в рамках бюджетного цикла.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Прогнозная оценка ресурсного обеспечения реализации Подпрограммы       за счет всех источников финансирования приводится в Приложении № 3 к Подпрограмме.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Необходимо отметить, к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безвозмездным поступлениям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Программы относятся средства организаций и лиц, привлекаемые   на добровольной и безвозмездной основе для финансирования мероприятий, способствующих благоустройству дворовых  территорий, 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также </w:t>
      </w:r>
      <w:r>
        <w:rPr>
          <w:rFonts w:ascii="Times New Roman" w:hAnsi="Times New Roman"/>
          <w:sz w:val="28"/>
          <w:szCs w:val="28"/>
          <w:lang w:eastAsia="ru-RU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7. Анализ рисков и меры управления рисками.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709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В рамках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>реализации Подпрограммы можно выделить следующие риски, оказывающие влияние на достижение цели и задач Программы.</w:t>
      </w:r>
    </w:p>
    <w:p>
      <w:pPr>
        <w:pStyle w:val="35"/>
        <w:keepNext/>
        <w:widowControl w:val="0"/>
        <w:tabs>
          <w:tab w:val="left" w:pos="1134"/>
        </w:tabs>
        <w:spacing w:before="0" w:after="0" w:line="240" w:lineRule="auto"/>
        <w:ind w:left="927" w:firstLine="900"/>
        <w:jc w:val="both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1. Бюджетные риски.</w:t>
      </w: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Бюджетные риски связаны с ограниченностью бюджетных ресурсов, возможностью невыполнения своих обязательств по софинансированию мероприятий Подпрограммы. </w:t>
      </w: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Меры по предотвращению рисков:</w:t>
      </w:r>
    </w:p>
    <w:p>
      <w:pPr>
        <w:shd w:val="clear" w:color="FFFFFF" w:themeColor="dark1" w:themeShade="00" w:themeTint="00" w:fill="FFFFFF" w:themeFill="dark1" w:themeFillShade="00" w:themeFillTint="00"/>
        <w:tabs>
          <w:tab w:val="left" w:pos="993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требуемые объемы бюджетного финансирования обосновываются   в рамках бюджетного цикла, проводится оценка потребности  в предоставлении муниципальных услуг (выполнении работ);</w:t>
      </w:r>
    </w:p>
    <w:p>
      <w:pPr>
        <w:shd w:val="clear" w:color="FFFFFF" w:themeColor="dark1" w:themeShade="00" w:themeTint="00" w:fill="FFFFFF" w:themeFill="dark1" w:themeFillShade="00" w:themeFillTint="00"/>
        <w:tabs>
          <w:tab w:val="left" w:pos="993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>
      <w:pPr>
        <w:shd w:val="clear" w:color="FFFFFF" w:themeColor="dark1" w:themeShade="00" w:themeTint="00" w:fill="FFFFFF" w:themeFill="dark1" w:themeFillShade="00" w:themeFillTint="00"/>
        <w:tabs>
          <w:tab w:val="left" w:pos="993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>
      <w:pPr>
        <w:pStyle w:val="35"/>
        <w:widowControl w:val="0"/>
        <w:tabs>
          <w:tab w:val="left" w:pos="1134"/>
        </w:tabs>
        <w:spacing w:before="0" w:after="0" w:line="240" w:lineRule="auto"/>
        <w:ind w:left="927" w:firstLine="900"/>
        <w:jc w:val="both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2. Организационно-управленческие риски.</w:t>
      </w:r>
    </w:p>
    <w:p>
      <w:pPr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Данная группа рисков связана с необходимостью вовлечения в процесс благоустройства территории города многих участников: организаций различных форм собственности, индивидуальных предпринимателей, жителей города.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Меры по предотвращению рисков: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выбор исполнителей мероприятий Подпрограммы на конкурсной основе;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 составление планов работ, контроль  за их исполнением, закрепление персональной ответственности должностных лиц, специалистов  за выполнение мероприятий Подпрограммы и достижение целевых показателей (индикаторов) Подпрограммы.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Подпрограммы;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невыполнение целевых индикаторов и показателей Подпрограммы.</w:t>
      </w:r>
    </w:p>
    <w:p>
      <w:pPr>
        <w:spacing w:before="0" w:after="0" w:line="240" w:lineRule="auto"/>
        <w:ind w:left="142"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Подпрограммы.</w:t>
      </w:r>
    </w:p>
    <w:p>
      <w:pPr>
        <w:pStyle w:val="35"/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left="927" w:firstLine="900"/>
        <w:jc w:val="both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3. Социальные риски.</w:t>
      </w:r>
    </w:p>
    <w:p>
      <w:pPr>
        <w:widowControl w:val="0"/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>
      <w:pPr>
        <w:widowControl w:val="0"/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Меры по предотвращению рисков: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широкое информирование мероприятий по благоустройству; 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привлечение населения к проведению мероприятий по благоустройству;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134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привлечение организаций, студенческих отрядов к выполнению работ по благоустройству.</w:t>
      </w:r>
    </w:p>
    <w:p>
      <w:pPr>
        <w:widowControl w:val="0"/>
        <w:tabs>
          <w:tab w:val="left" w:pos="993"/>
        </w:tabs>
        <w:spacing w:before="0"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8. Ожидаемые результаты реализации Подпрограммы, 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оценка эффективности её реализации.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widowControl w:val="0"/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Подпрограмма направлена на повышение комфорта, безопасности и эстетики городской среды. 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Оценка эффективности Подпрограммы осуществляется ежегодно по следующим направлениям: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>
      <w:pPr>
        <w:spacing w:before="0" w:after="0"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степень достижения целевых показателей Подпрограммы.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 СРм = Мв / М,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где: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СРм - степень реализации мероприятий;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 в отчетном году.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Мероприятие может считаться выполненным в полном объеме    при достижении следующих результатов: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по иным мероприятиям результаты реализации могут оцениваться  как наступление или не наступление контрольного события (событий) и (или) достижение качественного результата (оценка проводится экспертно).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ССуз = Зф / Зп,где: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ССуз - степень соответствия запланированному уровню расходов;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Зф - фактические расходы на реализацию муниципальной программы в отчетном году;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Зп - плановые расходы на реализацию муниципальной программы в отчетном году.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Подпрограммы.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Эис = СРм / ССуз,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где: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Эис - эффективность использования средств областного бюджета;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 СДпз = ЗПф / ЗПп,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где: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Для количественной оценки результатов реализации Подпрограммы предусмотрена система целевых показателей (индикаторов) и их значений    по годам реализации муниципальной программы.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Ожидаемые результаты при выполнении мероприятий Подпрограммы: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благоустройство 5 общественных территорий города Обояни;</w:t>
      </w:r>
    </w:p>
    <w:p>
      <w:pPr>
        <w:spacing w:before="0" w:after="0" w:line="240" w:lineRule="auto"/>
        <w:ind w:firstLine="900"/>
        <w:contextualSpacing/>
        <w:jc w:val="both"/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>вовлечение граждан, организаций в реализацию мероприятий  в сфере формирования современной городской среды путем софинансирования мероприятий по благоустройству дворовых территорий, обсуждения общественных территорий, подлежащих благоустройству, трудового участия граждан, организаций и иных лиц в реализации мероприятий по благоустройству.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>9. Управление Подпрограммой, контроль за ее реализацией и порядок отчетности.</w:t>
      </w: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bCs/>
          <w:color w:val="00000A"/>
          <w:sz w:val="28"/>
          <w:szCs w:val="28"/>
          <w:lang w:val="ru-RU" w:eastAsia="ru-RU" w:bidi="ru-RU"/>
        </w:rPr>
      </w:pPr>
    </w:p>
    <w:p>
      <w:pPr>
        <w:keepNext/>
        <w:widowControl w:val="0"/>
        <w:shd w:val="clear" w:color="FFFFFF" w:themeColor="dark1" w:themeShade="00" w:themeTint="00" w:fill="FFFFFF" w:themeFill="dark1" w:themeFillShade="00" w:themeFillTint="00"/>
        <w:tabs>
          <w:tab w:val="left" w:pos="1276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Подрограмма при необходимости может корректироваться. </w:t>
      </w:r>
    </w:p>
    <w:p>
      <w:pPr>
        <w:tabs>
          <w:tab w:val="left" w:pos="5103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Общее руководство и управление Подрограммой осуществляет Администрация города Обояни.</w:t>
      </w:r>
    </w:p>
    <w:p>
      <w:pPr>
        <w:tabs>
          <w:tab w:val="left" w:pos="5103"/>
        </w:tabs>
        <w:spacing w:before="0" w:after="0" w:line="240" w:lineRule="auto"/>
        <w:ind w:firstLine="900"/>
        <w:jc w:val="both"/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>Администрация города Обояни направляет квартальную отчетность в комитет ЖКХ и ТЭК Курской области  в соответствии с заключенным Соглашением.</w:t>
      </w: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Приложение №1</w:t>
      </w:r>
    </w:p>
    <w:p>
      <w:pPr>
        <w:pStyle w:val="38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муниципальной подпрограмм </w:t>
      </w: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«Создание условий для формирования 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современной городской среды» муниципальной 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программы «Формирование современной городской 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среды на территории муниципального образования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 «город Обоянь» Обоянского района Курской области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 на 2022-2024 годы»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tbl>
      <w:tblPr>
        <w:tblStyle w:val="3"/>
        <w:tblW w:w="9300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919"/>
        <w:gridCol w:w="1146"/>
        <w:gridCol w:w="1380"/>
        <w:gridCol w:w="1053"/>
        <w:gridCol w:w="2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299" w:type="dxa"/>
            <w:gridSpan w:val="6"/>
            <w:shd w:val="clear" w:color="auto" w:fill="auto"/>
            <w:vAlign w:val="center"/>
          </w:tcPr>
          <w:p>
            <w:pPr>
              <w:spacing w:before="0" w:after="0" w:line="240" w:lineRule="auto"/>
              <w:ind w:firstLine="601"/>
              <w:jc w:val="center"/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о целевых показателях (индикаторах) Подпрограммы </w:t>
            </w:r>
          </w:p>
          <w:p>
            <w:pPr>
              <w:spacing w:before="0" w:after="0" w:line="240" w:lineRule="auto"/>
              <w:ind w:firstLine="601"/>
              <w:jc w:val="center"/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  <w:t>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«город Обоянь» Обоянского района Курской области на 2022-2024 годы»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991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72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6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1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A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5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9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200"/>
              <w:ind w:firstLine="672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к муниципальной подпрограмме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 w:bidi="ru-RU"/>
              </w:rPr>
              <w:t>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«город Обоянь» Обоянского района Курской области на 2022-2024 годы»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tabs>
                <w:tab w:val="left" w:pos="567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lang w:eastAsia="ru-RU"/>
              </w:rPr>
              <w:t>100</w:t>
            </w:r>
          </w:p>
        </w:tc>
        <w:tc>
          <w:tcPr>
            <w:tcW w:w="22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 w:bidi="ru-RU"/>
              </w:rPr>
              <w:t>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lang w:eastAsia="ru-RU"/>
              </w:rPr>
              <w:t>100</w:t>
            </w:r>
          </w:p>
        </w:tc>
        <w:tc>
          <w:tcPr>
            <w:tcW w:w="22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78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1</w:t>
            </w:r>
          </w:p>
        </w:tc>
      </w:tr>
    </w:tbl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pStyle w:val="14"/>
        <w:jc w:val="right"/>
        <w:rPr>
          <w:rFonts w:ascii="Arial" w:hAnsi="Arial" w:eastAsia="Times New Roman" w:cs="Arial"/>
          <w:color w:val="00000A"/>
          <w:sz w:val="22"/>
          <w:szCs w:val="22"/>
          <w:lang w:val="ru-RU" w:eastAsia="en-US" w:bidi="ar-SA"/>
        </w:rPr>
      </w:pPr>
    </w:p>
    <w:p>
      <w:pPr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Приложение №2</w:t>
      </w:r>
    </w:p>
    <w:p>
      <w:pPr>
        <w:pStyle w:val="38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</w:t>
      </w:r>
      <w:bookmarkStart w:id="1" w:name="__DdeLink__55673_743424194"/>
      <w:r>
        <w:rPr>
          <w:rFonts w:ascii="Times New Roman" w:hAnsi="Times New Roman"/>
          <w:b w:val="0"/>
          <w:sz w:val="20"/>
          <w:szCs w:val="20"/>
        </w:rPr>
        <w:t xml:space="preserve">   к муниципальной подпрограмме                    </w:t>
      </w: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«Создание условий для формирования современной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 городской среды» муниципальной программы 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«Формирование современной городской среды на 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территории муниципального образования «город Обоянь»</w:t>
      </w:r>
    </w:p>
    <w:p>
      <w:pPr>
        <w:pStyle w:val="38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 Обоянского района Курской области на 2022-2024 годы»</w:t>
      </w:r>
      <w:bookmarkEnd w:id="1"/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>
      <w:pPr>
        <w:pStyle w:val="38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>
      <w:pPr>
        <w:spacing w:before="0"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основных мероприятий муниципальной  Подпрограммы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 w:bidi="ru-RU"/>
        </w:rPr>
        <w:t xml:space="preserve">«Создание условий для формирования современной городской среды» муниципальной программы «Формирование современной городской среды на территории муниципального образования «город Обоянь» Обоянского района Курской области 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 w:bidi="ru-RU"/>
        </w:rPr>
        <w:t>на 2022-2024 годы»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 </w:t>
      </w:r>
    </w:p>
    <w:tbl>
      <w:tblPr>
        <w:tblStyle w:val="3"/>
        <w:tblW w:w="10650" w:type="dxa"/>
        <w:tblInd w:w="-51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45" w:type="dxa"/>
          <w:bottom w:w="0" w:type="dxa"/>
          <w:right w:w="75" w:type="dxa"/>
        </w:tblCellMar>
      </w:tblPr>
      <w:tblGrid>
        <w:gridCol w:w="609"/>
        <w:gridCol w:w="1957"/>
        <w:gridCol w:w="1421"/>
        <w:gridCol w:w="1288"/>
        <w:gridCol w:w="1288"/>
        <w:gridCol w:w="4"/>
        <w:gridCol w:w="2052"/>
        <w:gridCol w:w="6"/>
        <w:gridCol w:w="202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5" w:type="dxa"/>
            <w:bottom w:w="0" w:type="dxa"/>
            <w:right w:w="75" w:type="dxa"/>
          </w:tblCellMar>
        </w:tblPrEx>
        <w:trPr>
          <w:trHeight w:val="348" w:hRule="atLeast"/>
        </w:trPr>
        <w:tc>
          <w:tcPr>
            <w:tcW w:w="67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>
            <w:pPr>
              <w:pStyle w:val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основного мероприятия</w:t>
            </w:r>
          </w:p>
        </w:tc>
        <w:tc>
          <w:tcPr>
            <w:tcW w:w="127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5" w:type="dxa"/>
            <w:bottom w:w="0" w:type="dxa"/>
            <w:right w:w="75" w:type="dxa"/>
          </w:tblCellMar>
        </w:tblPrEx>
        <w:trPr>
          <w:trHeight w:val="1045" w:hRule="atLeast"/>
        </w:trPr>
        <w:tc>
          <w:tcPr>
            <w:tcW w:w="67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Calibri" w:cs="Times New Roman"/>
                <w:color w:val="00000A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5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Calibri" w:cs="Times New Roman"/>
                <w:color w:val="00000A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Calibri" w:cs="Times New Roman"/>
                <w:color w:val="00000A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40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both"/>
              <w:rPr>
                <w:rFonts w:ascii="Times New Roman" w:hAnsi="Times New Roman" w:eastAsia="Calibri" w:cs="Times New Roman"/>
                <w:color w:val="00000A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both"/>
              <w:rPr>
                <w:rFonts w:ascii="Times New Roman" w:hAnsi="Times New Roman" w:eastAsia="Calibri" w:cs="Times New Roman"/>
                <w:color w:val="00000A"/>
                <w:sz w:val="18"/>
                <w:szCs w:val="18"/>
                <w:lang w:val="ru-RU" w:eastAsia="ru-RU" w:bidi="ar-SA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5" w:type="dxa"/>
            <w:bottom w:w="0" w:type="dxa"/>
            <w:right w:w="75" w:type="dxa"/>
          </w:tblCellMar>
        </w:tblPrEx>
        <w:trPr>
          <w:trHeight w:val="139" w:hRule="atLeast"/>
        </w:trPr>
        <w:tc>
          <w:tcPr>
            <w:tcW w:w="6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5" w:type="dxa"/>
            <w:bottom w:w="0" w:type="dxa"/>
            <w:right w:w="75" w:type="dxa"/>
          </w:tblCellMar>
        </w:tblPrEx>
        <w:trPr>
          <w:trHeight w:val="508" w:hRule="atLeast"/>
        </w:trPr>
        <w:tc>
          <w:tcPr>
            <w:tcW w:w="6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Calibri" w:cs="Times New Roman"/>
                <w:color w:val="00000A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r>
              <w:rPr>
                <w:rFonts w:ascii="Times New Roman" w:hAnsi="Times New Roman"/>
              </w:rPr>
              <w:t xml:space="preserve"> Благоустройство территорий общественного пользования муниципального образования </w:t>
            </w:r>
          </w:p>
          <w:p>
            <w:pPr>
              <w:pStyle w:val="37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pStyle w:val="37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pStyle w:val="37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pStyle w:val="37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0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и доли благоустроенных общественных территорий города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spacing w:before="0" w:after="200"/>
              <w:jc w:val="both"/>
            </w:pPr>
            <w:r>
              <w:rPr>
                <w:rFonts w:ascii="Times New Roman" w:hAnsi="Times New Roman"/>
              </w:rPr>
              <w:t>Показатель 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Показатель 3  «Количество благоустроенных общественных территорий»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5" w:type="dxa"/>
            <w:bottom w:w="0" w:type="dxa"/>
            <w:right w:w="75" w:type="dxa"/>
          </w:tblCellMar>
        </w:tblPrEx>
        <w:trPr>
          <w:trHeight w:val="5950" w:hRule="atLeast"/>
        </w:trPr>
        <w:tc>
          <w:tcPr>
            <w:tcW w:w="6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Calibri" w:cs="Times New Roman"/>
                <w:color w:val="00000A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ru-RU" w:bidi="ru-RU"/>
              </w:rPr>
            </w:pPr>
            <w:r>
              <w:rPr>
                <w:rFonts w:ascii="Times New Roman" w:hAnsi="Times New Roman" w:eastAsia="Times New Roman"/>
                <w:bCs/>
                <w:sz w:val="22"/>
                <w:szCs w:val="22"/>
                <w:lang w:eastAsia="ru-RU" w:bidi="ru-RU"/>
              </w:rPr>
              <w:t>Увековечивание  памятников погибших при защите Отечества</w:t>
            </w:r>
          </w:p>
        </w:tc>
        <w:tc>
          <w:tcPr>
            <w:tcW w:w="12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pStyle w:val="37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pStyle w:val="37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pStyle w:val="37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0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</w:tcPr>
          <w:p>
            <w:pPr>
              <w:spacing w:before="0" w:after="200"/>
              <w:jc w:val="both"/>
            </w:pPr>
            <w:r>
              <w:rPr>
                <w:rFonts w:ascii="Times New Roman" w:hAnsi="Times New Roman"/>
              </w:rPr>
              <w:t>увеличение количества и доли благоустроенных общественных территорий города</w:t>
            </w:r>
          </w:p>
        </w:tc>
        <w:tc>
          <w:tcPr>
            <w:tcW w:w="216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45" w:type="dxa"/>
            </w:tcMar>
            <w:vAlign w:val="center"/>
          </w:tcPr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/>
                <w:bCs/>
                <w:sz w:val="22"/>
                <w:szCs w:val="22"/>
                <w:lang w:eastAsia="ru-RU" w:bidi="ru-RU"/>
              </w:rPr>
              <w:t>Доля реализованных комплексных проектов благоустройства общественных территорий (увековечивание   памятников погибших при защите Отечества) в общем количестве реализованных в течение планового года проектов благоустройства общественных территорий;</w:t>
            </w:r>
          </w:p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20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/>
                <w:bCs/>
                <w:sz w:val="22"/>
                <w:szCs w:val="22"/>
                <w:lang w:eastAsia="ru-RU" w:bidi="ru-RU"/>
              </w:rPr>
              <w:t>Показатель 3  «Количество благоустроенных общественных территорий»</w:t>
            </w:r>
          </w:p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20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ru-RU" w:bidi="ru-RU"/>
              </w:rPr>
            </w:pPr>
          </w:p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20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ru-RU" w:bidi="ru-RU"/>
              </w:rPr>
            </w:pPr>
          </w:p>
          <w:p>
            <w:pPr>
              <w:widowControl w:val="0"/>
              <w:tabs>
                <w:tab w:val="left" w:pos="1134"/>
              </w:tabs>
              <w:suppressAutoHyphens/>
              <w:bidi w:val="0"/>
              <w:spacing w:before="0" w:after="20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Cs/>
                <w:color w:val="00000A"/>
                <w:sz w:val="22"/>
                <w:szCs w:val="22"/>
                <w:lang w:val="ru-RU" w:eastAsia="ru-RU" w:bidi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color w:val="00000A"/>
          <w:sz w:val="22"/>
          <w:szCs w:val="22"/>
          <w:lang w:val="ru-RU" w:eastAsia="ru-RU" w:bidi="ru-RU"/>
        </w:rPr>
      </w:pPr>
      <w:r>
        <w:br w:type="page"/>
      </w:r>
    </w:p>
    <w:p>
      <w:pPr>
        <w:pStyle w:val="14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>
      <w:pPr>
        <w:spacing w:before="0" w:after="0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      к муниципальной подпрограмме               </w:t>
      </w:r>
    </w:p>
    <w:p>
      <w:pPr>
        <w:spacing w:before="0" w:after="0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    </w:t>
      </w: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«Создание условий для формирования современной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 городской среды» муниципальной программы 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«Формирование современной городской среды на 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территории муниципального образования «город Обоянь»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 Обоянского района Курской области на 2022-2024 годы» </w:t>
      </w:r>
    </w:p>
    <w:p>
      <w:pPr>
        <w:pStyle w:val="39"/>
      </w:pPr>
    </w:p>
    <w:p>
      <w:pPr>
        <w:pStyle w:val="39"/>
        <w:rPr>
          <w:b w:val="0"/>
          <w:szCs w:val="28"/>
        </w:rPr>
      </w:pPr>
      <w:r>
        <w:rPr>
          <w:b w:val="0"/>
          <w:szCs w:val="28"/>
        </w:rPr>
        <w:t xml:space="preserve">Ресурсное обеспечение реализации </w:t>
      </w:r>
    </w:p>
    <w:p>
      <w:pPr>
        <w:ind w:firstLine="672"/>
        <w:jc w:val="center"/>
      </w:pPr>
      <w:r>
        <w:rPr>
          <w:rFonts w:ascii="Times New Roman" w:hAnsi="Times New Roman"/>
          <w:b w:val="0"/>
          <w:sz w:val="28"/>
          <w:szCs w:val="28"/>
        </w:rPr>
        <w:t xml:space="preserve">   к муниципальной подпрограмме 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 w:bidi="ru-RU"/>
        </w:rPr>
        <w:t xml:space="preserve">«Создание условий для формирования современной городской среды»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«Формирование современной городской среды на территории  муниципального образования «город Обоянь» Обоянского района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eastAsia="en-US"/>
        </w:rPr>
        <w:t>Курской области на 2022-2024 годы</w:t>
      </w:r>
    </w:p>
    <w:tbl>
      <w:tblPr>
        <w:tblStyle w:val="3"/>
        <w:tblW w:w="10349" w:type="dxa"/>
        <w:tblInd w:w="-20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1601"/>
        <w:gridCol w:w="1965"/>
        <w:gridCol w:w="2814"/>
        <w:gridCol w:w="762"/>
        <w:gridCol w:w="554"/>
        <w:gridCol w:w="658"/>
        <w:gridCol w:w="485"/>
        <w:gridCol w:w="11"/>
        <w:gridCol w:w="1499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9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97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13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(тыс. руб.)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2022-2024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Администрации города Обояни</w:t>
            </w:r>
          </w:p>
        </w:tc>
        <w:tc>
          <w:tcPr>
            <w:tcW w:w="198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муниципаль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 образования </w:t>
            </w:r>
          </w:p>
          <w:p>
            <w:pPr>
              <w:widowControl w:val="0"/>
              <w:spacing w:before="0" w:after="0" w:line="240" w:lineRule="auto"/>
              <w:ind w:firstLine="49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Обоянь» Обоянского района </w:t>
            </w: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eastAsia="en-US"/>
              </w:rPr>
              <w:t>Курской области на 2022-2024 годы</w:t>
            </w: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2022-2024 гг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в т.ч.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6568,196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т.ч 2022 г.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6368,196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6241,629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tabs>
                <w:tab w:val="left" w:pos="-3220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Обояни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126,567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т.ч 2023 г.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100, 00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tabs>
                <w:tab w:val="left" w:pos="-3220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Обояни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100, 00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т.ч 2024 г.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8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/>
              <w:suppressAutoHyphens/>
              <w:bidi w:val="0"/>
              <w:spacing w:before="0" w:after="200" w:line="276" w:lineRule="auto"/>
              <w:jc w:val="left"/>
              <w:rPr>
                <w:rFonts w:ascii="Calibri" w:hAnsi="Calibri" w:eastAsia="Calibri" w:cs="Times New Roman"/>
                <w:color w:val="00000A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tabs>
                <w:tab w:val="left" w:pos="-3220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 Обояни</w:t>
            </w: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5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spacing w:before="0" w:after="0" w:line="240" w:lineRule="auto"/>
              <w:jc w:val="center"/>
              <w:rPr>
                <w:rFonts w:ascii="Calibri" w:hAnsi="Calibri" w:eastAsia="Calibri" w:cs="Times New Roman"/>
                <w:color w:val="00000A"/>
                <w:sz w:val="22"/>
                <w:szCs w:val="22"/>
                <w:lang w:val="ru-RU" w:eastAsia="en-US" w:bidi="ar-SA"/>
              </w:rPr>
            </w:pPr>
            <w:r>
              <w:t>100,00</w:t>
            </w:r>
          </w:p>
        </w:tc>
      </w:tr>
    </w:tbl>
    <w:p>
      <w:pPr>
        <w:tabs>
          <w:tab w:val="left" w:pos="5670"/>
        </w:tabs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</w:pPr>
    </w:p>
    <w:p>
      <w:pPr>
        <w:tabs>
          <w:tab w:val="left" w:pos="5670"/>
        </w:tabs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</w:pPr>
    </w:p>
    <w:p>
      <w:pPr>
        <w:tabs>
          <w:tab w:val="left" w:pos="5670"/>
        </w:tabs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</w:pPr>
    </w:p>
    <w:p>
      <w:pPr>
        <w:tabs>
          <w:tab w:val="left" w:pos="5670"/>
        </w:tabs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</w:pPr>
    </w:p>
    <w:p>
      <w:pPr>
        <w:tabs>
          <w:tab w:val="left" w:pos="5670"/>
        </w:tabs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</w:pPr>
    </w:p>
    <w:p>
      <w:pPr>
        <w:tabs>
          <w:tab w:val="left" w:pos="5670"/>
        </w:tabs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</w:pPr>
    </w:p>
    <w:p>
      <w:pPr>
        <w:spacing w:before="0" w:after="0" w:line="240" w:lineRule="auto"/>
        <w:ind w:left="3686" w:firstLine="0"/>
        <w:jc w:val="right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Приложение 4</w:t>
      </w:r>
    </w:p>
    <w:p>
      <w:pPr>
        <w:spacing w:before="0" w:after="0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  к муниципальной подпрограмме            </w:t>
      </w:r>
    </w:p>
    <w:p>
      <w:pPr>
        <w:spacing w:before="0" w:after="0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       </w:t>
      </w: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«Создание условий для формирования современной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 городской среды» муниципальной программы 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«Формирование современной городской среды на 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территории муниципального образования «город Обоянь»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lang w:eastAsia="ru-RU" w:bidi="ru-RU"/>
        </w:rPr>
        <w:t xml:space="preserve"> Обоянского района Курской области на 2022-2024 годы»</w:t>
      </w:r>
      <w:r>
        <w:rPr>
          <w:rFonts w:ascii="Times New Roman" w:hAnsi="Times New Roman" w:eastAsia="Times New Roman" w:cs="Times New Roman"/>
          <w:b w:val="0"/>
          <w:bCs/>
          <w:color w:val="000000"/>
          <w:sz w:val="20"/>
          <w:szCs w:val="20"/>
          <w:lang w:eastAsia="en-US" w:bidi="ru-RU"/>
        </w:rPr>
        <w:t xml:space="preserve"> </w:t>
      </w:r>
    </w:p>
    <w:p>
      <w:pPr>
        <w:widowControl w:val="0"/>
        <w:spacing w:before="0" w:after="0" w:line="312" w:lineRule="exact"/>
        <w:jc w:val="center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widowControl w:val="0"/>
        <w:spacing w:before="0" w:after="0" w:line="312" w:lineRule="exact"/>
        <w:jc w:val="center"/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>Список общественных территорий по Подпрограмме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br w:type="textWrapping"/>
      </w:r>
      <w:r>
        <w:rPr>
          <w:rFonts w:ascii="Times New Roman" w:hAnsi="Times New Roman" w:eastAsia="Times New Roman"/>
          <w:b w:val="0"/>
          <w:bCs/>
          <w:color w:val="000000"/>
          <w:sz w:val="20"/>
          <w:szCs w:val="20"/>
          <w:lang w:eastAsia="ru-RU" w:bidi="ru-RU"/>
        </w:rPr>
        <w:t xml:space="preserve">            </w:t>
      </w:r>
      <w:r>
        <w:rPr>
          <w:rFonts w:ascii="Times New Roman" w:hAnsi="Times New Roman" w:eastAsia="Times New Roman"/>
          <w:b w:val="0"/>
          <w:bCs/>
          <w:color w:val="000000"/>
          <w:sz w:val="28"/>
          <w:szCs w:val="28"/>
          <w:lang w:eastAsia="ru-RU" w:bidi="ru-RU"/>
        </w:rPr>
        <w:t xml:space="preserve">     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 «Создание условий для формирования современной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 городской среды» муниципальной программы «Формирование современной городской среды на территории муниципального образования «город Обоянь»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 Обоянского района Курской области на 2022-2024 годы» </w:t>
      </w:r>
    </w:p>
    <w:p>
      <w:pPr>
        <w:widowControl w:val="0"/>
        <w:spacing w:before="0" w:after="0" w:line="312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tbl>
      <w:tblPr>
        <w:tblStyle w:val="3"/>
        <w:tblW w:w="9663" w:type="dxa"/>
        <w:tblInd w:w="3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102" w:type="dxa"/>
          <w:left w:w="37" w:type="dxa"/>
          <w:bottom w:w="102" w:type="dxa"/>
          <w:right w:w="62" w:type="dxa"/>
        </w:tblCellMar>
      </w:tblPr>
      <w:tblGrid>
        <w:gridCol w:w="989"/>
        <w:gridCol w:w="3539"/>
        <w:gridCol w:w="2"/>
        <w:gridCol w:w="513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 название объекта, являющегося объектом муниципального имущества муниципального образования (далее - объект), или адрес общественной территории</w:t>
            </w:r>
          </w:p>
        </w:tc>
        <w:tc>
          <w:tcPr>
            <w:tcW w:w="51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tabs>
                <w:tab w:val="left" w:pos="48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работ по благоустройству (указать)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Arial" w:hAnsi="Arial" w:eastAsia="Times New Roman" w:cs="Arial"/>
                <w:color w:val="00000A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67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 Якуба Колоса</w:t>
            </w:r>
          </w:p>
        </w:tc>
        <w:tc>
          <w:tcPr>
            <w:tcW w:w="51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детской игровой площадки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 Дружбы</w:t>
            </w:r>
          </w:p>
        </w:tc>
        <w:tc>
          <w:tcPr>
            <w:tcW w:w="51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детской игровой площадки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  <w:tc>
          <w:tcPr>
            <w:tcW w:w="51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детской игровой площадки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rPr>
          <w:trHeight w:val="758" w:hRule="atLeast"/>
        </w:trPr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  <w:tc>
          <w:tcPr>
            <w:tcW w:w="51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спортивной  площадки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парк Ю.Пионеров,</w:t>
            </w:r>
          </w:p>
          <w:p>
            <w:pPr>
              <w:pStyle w:val="14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 Мирная (школа №3)</w:t>
            </w:r>
          </w:p>
          <w:p>
            <w:pPr>
              <w:pStyle w:val="14"/>
              <w:ind w:firstLine="0"/>
              <w:jc w:val="both"/>
              <w:rPr>
                <w:rFonts w:ascii="Arial" w:hAnsi="Arial" w:eastAsia="Times New Roman" w:cs="Times New Roman"/>
                <w:color w:val="00000A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13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памятников погибших при защите Отечества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867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 Луначарского</w:t>
            </w:r>
          </w:p>
        </w:tc>
        <w:tc>
          <w:tcPr>
            <w:tcW w:w="5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тротуара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67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102" w:type="dxa"/>
            <w:left w:w="37" w:type="dxa"/>
            <w:bottom w:w="102" w:type="dxa"/>
            <w:right w:w="62" w:type="dxa"/>
          </w:tblCellMar>
        </w:tblPrEx>
        <w:tc>
          <w:tcPr>
            <w:tcW w:w="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 Курская </w:t>
            </w:r>
          </w:p>
        </w:tc>
        <w:tc>
          <w:tcPr>
            <w:tcW w:w="5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7" w:type="dxa"/>
            </w:tcMar>
            <w:vAlign w:val="center"/>
          </w:tcPr>
          <w:p>
            <w:pPr>
              <w:pStyle w:val="14"/>
              <w:ind w:firstLine="0"/>
              <w:jc w:val="center"/>
              <w:rPr>
                <w:rFonts w:ascii="Times New Roman" w:hAnsi="Times New Roman" w:eastAsia="Times New Roman" w:cs="Arial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тротуара</w:t>
            </w:r>
          </w:p>
        </w:tc>
      </w:tr>
    </w:tbl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spacing w:before="0" w:after="0" w:line="240" w:lineRule="auto"/>
        <w:ind w:left="5103" w:firstLine="0"/>
        <w:jc w:val="right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pStyle w:val="14"/>
        <w:ind w:firstLine="0"/>
        <w:jc w:val="right"/>
      </w:pPr>
      <w:r>
        <w:rPr>
          <w:rFonts w:ascii="Times New Roman" w:hAnsi="Times New Roman" w:cs="Times New Roman"/>
        </w:rPr>
        <w:t>Приложение №5</w:t>
      </w:r>
    </w:p>
    <w:p>
      <w:pPr>
        <w:spacing w:before="0" w:after="0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      к муниципальной подпрограмме         </w:t>
      </w:r>
    </w:p>
    <w:p>
      <w:pPr>
        <w:spacing w:before="0" w:after="0"/>
        <w:ind w:firstLine="672"/>
        <w:jc w:val="right"/>
      </w:pPr>
      <w:r>
        <w:rPr>
          <w:rFonts w:ascii="Times New Roman" w:hAnsi="Times New Roman"/>
          <w:b w:val="0"/>
          <w:sz w:val="20"/>
          <w:szCs w:val="20"/>
        </w:rPr>
        <w:t xml:space="preserve">           </w:t>
      </w: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«Создание условий для формирования современной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 городской среды» муниципальной программы 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 xml:space="preserve">«Формирование современной городской среды на 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 w:bidi="ru-RU"/>
        </w:rPr>
        <w:t>территории муниципального образования «город Обоянь»</w:t>
      </w:r>
    </w:p>
    <w:p>
      <w:pPr>
        <w:pStyle w:val="38"/>
        <w:spacing w:before="0" w:after="0"/>
        <w:ind w:firstLine="672"/>
        <w:jc w:val="right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lang w:eastAsia="ru-RU" w:bidi="ru-RU"/>
        </w:rPr>
        <w:t xml:space="preserve"> Обоянского района Курской области на 2022-2024 годы»</w:t>
      </w:r>
      <w:r>
        <w:rPr>
          <w:rFonts w:ascii="Times New Roman" w:hAnsi="Times New Roman" w:eastAsia="Times New Roman" w:cs="Times New Roman"/>
          <w:b w:val="0"/>
          <w:bCs/>
          <w:color w:val="000000"/>
          <w:sz w:val="20"/>
          <w:szCs w:val="20"/>
          <w:lang w:eastAsia="en-US" w:bidi="ru-RU"/>
        </w:rPr>
        <w:t xml:space="preserve"> </w:t>
      </w:r>
    </w:p>
    <w:p>
      <w:pPr>
        <w:widowControl w:val="0"/>
        <w:spacing w:before="0" w:after="0" w:line="240" w:lineRule="auto"/>
        <w:jc w:val="center"/>
        <w:rPr>
          <w:rFonts w:ascii="Calibri" w:hAnsi="Calibri" w:eastAsia="Calibri" w:cs="Times New Roman"/>
          <w:color w:val="00000A"/>
          <w:sz w:val="22"/>
          <w:szCs w:val="22"/>
          <w:lang w:val="ru-RU" w:eastAsia="en-US" w:bidi="ar-SA"/>
        </w:rPr>
      </w:pPr>
    </w:p>
    <w:p>
      <w:pPr>
        <w:widowControl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Минимальный перечень</w:t>
      </w:r>
    </w:p>
    <w:p>
      <w:pPr>
        <w:widowControl w:val="0"/>
        <w:spacing w:before="0"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 благоустройство общественных территорий ,</w:t>
      </w:r>
    </w:p>
    <w:p>
      <w:pPr>
        <w:widowControl w:val="0"/>
        <w:spacing w:before="0"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с приложением визуализированного перечня образцов элементов благоустройства</w:t>
      </w:r>
    </w:p>
    <w:tbl>
      <w:tblPr>
        <w:tblStyle w:val="3"/>
        <w:tblW w:w="9569" w:type="dxa"/>
        <w:tblInd w:w="-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3" w:type="dxa"/>
          <w:bottom w:w="0" w:type="dxa"/>
          <w:right w:w="108" w:type="dxa"/>
        </w:tblCellMar>
      </w:tblPr>
      <w:tblGrid>
        <w:gridCol w:w="827"/>
        <w:gridCol w:w="2055"/>
        <w:gridCol w:w="2081"/>
        <w:gridCol w:w="4606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tabs>
                <w:tab w:val="left" w:pos="-3220"/>
              </w:tabs>
              <w:spacing w:before="0" w:after="2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работ </w:t>
            </w:r>
          </w:p>
        </w:tc>
        <w:tc>
          <w:tcPr>
            <w:tcW w:w="668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tabs>
                <w:tab w:val="left" w:pos="-3220"/>
              </w:tabs>
              <w:spacing w:before="0" w:after="200"/>
            </w:pPr>
            <w:r>
              <w:rPr>
                <w:rFonts w:ascii="Times New Roman" w:hAnsi="Times New Roman"/>
                <w:sz w:val="24"/>
                <w:szCs w:val="24"/>
              </w:rPr>
              <w:t>Визуализированный перечень образцов элементов благоустройства к размещению на общественной  территории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40"/>
              <w:widowControl w:val="0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 на деревянных стойках с оцинкованной балкой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144905" cy="1144905"/>
                  <wp:effectExtent l="0" t="0" r="0" b="0"/>
                  <wp:docPr id="2" name="Picture" descr="Описание: 004142-c1-1600h1600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Описание: 004142-c1-1600h1600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ind w:left="360" w:firstLine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Горки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454785" cy="1454785"/>
                  <wp:effectExtent l="0" t="0" r="0" b="0"/>
                  <wp:docPr id="3" name="Picture" descr="Описание: 4216-s1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Описание: 4216-s1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518285" cy="1518285"/>
                  <wp:effectExtent l="0" t="0" r="0" b="0"/>
                  <wp:docPr id="4" name="Picture" descr="Описание: 4219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 descr="Описание: 4219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ind w:left="360" w:firstLine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Качалки на пружине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566545" cy="1566545"/>
                  <wp:effectExtent l="0" t="0" r="0" b="0"/>
                  <wp:docPr id="5" name="Picture" descr="Описание: 004116-s1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Описание: 004116-s1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45" cy="156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431290" cy="1431290"/>
                  <wp:effectExtent l="0" t="0" r="0" b="0"/>
                  <wp:docPr id="6" name="Picture" descr="Описание: 4171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 descr="Описание: 4171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ind w:left="360" w:firstLine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Песочница большая (дворик)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434465" cy="1434465"/>
                  <wp:effectExtent l="0" t="0" r="0" b="0"/>
                  <wp:docPr id="7" name="Picture" descr="Описание: 4272-s1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 descr="Описание: 4272-s1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ind w:left="360" w:firstLine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Песочница малая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168400" cy="1168400"/>
                  <wp:effectExtent l="0" t="0" r="0" b="0"/>
                  <wp:docPr id="8" name="Picture" descr="Описание: 4243-s1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Описание: 4243-s1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ind w:left="360" w:firstLine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 - беседка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706245" cy="1706245"/>
                  <wp:effectExtent l="0" t="0" r="0" b="0"/>
                  <wp:docPr id="9" name="Picture" descr="Описание: 004307-s1-kartochka-tovara1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 descr="Описание: 004307-s1-kartochka-tovara1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70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804035" cy="1804035"/>
                  <wp:effectExtent l="0" t="0" r="0" b="0"/>
                  <wp:docPr id="10" name="Picture" descr="Описание: 4304-s1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 descr="Описание: 4304-s1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80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ind w:left="360" w:firstLine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Карусели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609090" cy="1609090"/>
                  <wp:effectExtent l="0" t="0" r="0" b="0"/>
                  <wp:docPr id="11" name="Picture" descr="Описание: 004192-s1-kartochka-tovara-k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Описание: 004192-s1-kartochka-tovara-k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60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510665" cy="1510665"/>
                  <wp:effectExtent l="0" t="0" r="0" b="0"/>
                  <wp:docPr id="12" name="Picture" descr="Описание: 004195-c1-kartochka-tovara-k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 descr="Описание: 004195-c1-kartochka-tovara-k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ind w:left="360" w:firstLine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688465" cy="1423035"/>
                  <wp:effectExtent l="0" t="0" r="0" b="0"/>
                  <wp:docPr id="13" name="Picture" descr="Описание: 5106_s1_kartochka_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 descr="Описание: 5106_s1_kartochka_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t="12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649095" cy="1477010"/>
                  <wp:effectExtent l="0" t="0" r="0" b="0"/>
                  <wp:docPr id="14" name="Picture" descr="Описание: http://www.argumet.ru/img/detulic/metallnew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Описание: http://www.argumet.ru/img/detulic/metallnew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147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ind w:left="360" w:firstLine="0"/>
              <w:jc w:val="center"/>
              <w:rPr>
                <w:rFonts w:ascii="Times New Roman" w:hAnsi="Times New Roman" w:eastAsia="Calibri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Машинки 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765300" cy="1765300"/>
                  <wp:effectExtent l="0" t="0" r="0" b="0"/>
                  <wp:docPr id="15" name="Picture" descr="Описание: 4412-s1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 descr="Описание: 4412-s1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2103755" cy="990600"/>
                  <wp:effectExtent l="0" t="0" r="0" b="0"/>
                  <wp:docPr id="16" name="Picture" descr="Описание: 5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 descr="Описание: 5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1545590" cy="1216660"/>
                  <wp:effectExtent l="0" t="0" r="0" b="0"/>
                  <wp:docPr id="17" name="Picture" descr="Описание: http://www.argumet.ru/img/detobr/detigr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 descr="Описание: http://www.argumet.ru/img/detobr/detigr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59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82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40"/>
              <w:widowControl w:val="0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спортивных площадок</w:t>
            </w: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тренажер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510665" cy="1320165"/>
                  <wp:effectExtent l="0" t="0" r="0" b="0"/>
                  <wp:docPr id="18" name="Picture" descr="Описание: 7529_kartochka_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 descr="Описание: 7529_kartochka_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t="12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320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629410" cy="1629410"/>
                  <wp:effectExtent l="0" t="0" r="0" b="0"/>
                  <wp:docPr id="19" name="Picture" descr="Описание: 007503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 descr="Описание: 007503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62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785620" cy="1785620"/>
                  <wp:effectExtent l="0" t="0" r="0" b="0"/>
                  <wp:docPr id="20" name="Picture" descr="Описание: 007540-kartochka-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Описание: 007540-kartochka-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178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40"/>
              <w:widowControl w:val="0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из турников и шведской стенки</w:t>
            </w: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497965" cy="1497965"/>
                  <wp:effectExtent l="0" t="0" r="0" b="0"/>
                  <wp:docPr id="21" name="Picture" descr="Описание: 006453_kartochka_tovara_400_400_5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 descr="Описание: 006453_kartochka_tovara_400_400_5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before="0"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drawing>
                <wp:inline distT="0" distB="0" distL="0" distR="0">
                  <wp:extent cx="1676400" cy="1050290"/>
                  <wp:effectExtent l="0" t="0" r="0" b="0"/>
                  <wp:docPr id="22" name="Picture" descr="Описание: http://www.argumet.ru/img/detobr/detgim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 descr="Описание: http://www.argumet.ru/img/detobr/detgim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40"/>
              <w:widowControl w:val="0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памятников </w:t>
            </w: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3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pStyle w:val="40"/>
              <w:widowControl w:val="0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0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 w:eastAsia="Calibri" w:cs="Times New Roman"/>
                <w:color w:val="00000A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208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  <w:vAlign w:val="center"/>
          </w:tcPr>
          <w:p>
            <w:pPr>
              <w:widowControl w:val="0"/>
              <w:spacing w:before="0" w:after="200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83" w:type="dxa"/>
            </w:tcMar>
          </w:tcPr>
          <w:p>
            <w:pPr>
              <w:widowControl w:val="0"/>
              <w:spacing w:before="0" w:after="200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ar-SA"/>
              </w:rPr>
            </w:pPr>
          </w:p>
        </w:tc>
      </w:tr>
    </w:tbl>
    <w:p>
      <w:pPr>
        <w:tabs>
          <w:tab w:val="left" w:pos="5025"/>
        </w:tabs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ru-RU"/>
        </w:rPr>
      </w:pPr>
      <w:r>
        <w:br w:type="page"/>
      </w:r>
    </w:p>
    <w:p>
      <w:pPr>
        <w:tabs>
          <w:tab w:val="left" w:pos="993"/>
        </w:tabs>
        <w:spacing w:before="0" w:after="0" w:line="240" w:lineRule="auto"/>
        <w:ind w:left="4820" w:firstLine="0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val="ru-RU" w:eastAsia="ru-RU" w:bidi="ar-SA"/>
        </w:rPr>
      </w:pPr>
      <w:r>
        <w:br w:type="page"/>
      </w:r>
    </w:p>
    <w:p>
      <w:pPr>
        <w:spacing w:before="0" w:after="0" w:line="240" w:lineRule="auto"/>
        <w:ind w:left="4820" w:firstLine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</w:p>
    <w:p>
      <w:pPr>
        <w:pStyle w:val="33"/>
        <w:jc w:val="center"/>
        <w:rPr>
          <w:rFonts w:ascii="Times New Roman" w:hAnsi="Times New Roman" w:eastAsia="Times New Roman" w:cs="Times New Roman"/>
          <w:color w:val="00000A"/>
          <w:sz w:val="28"/>
          <w:szCs w:val="24"/>
          <w:lang w:val="ru-RU" w:eastAsia="ru-RU" w:bidi="ar-SA"/>
        </w:rPr>
      </w:pPr>
    </w:p>
    <w:sectPr>
      <w:headerReference r:id="rId8" w:type="default"/>
      <w:footerReference r:id="rId9" w:type="default"/>
      <w:pgSz w:w="11906" w:h="16838"/>
      <w:pgMar w:top="766" w:right="991" w:bottom="1134" w:left="1418" w:header="709" w:footer="709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Arial Rounded MT Bold">
    <w:altName w:val="Arial"/>
    <w:panose1 w:val="020F0704030504030204"/>
    <w:charset w:val="CC"/>
    <w:family w:val="roman"/>
    <w:pitch w:val="default"/>
    <w:sig w:usb0="00000000" w:usb1="00000000" w:usb2="00000000" w:usb3="00000000" w:csb0="20000001" w:csb1="00000000"/>
  </w:font>
  <w:font w:name="Times New Roman CYR;Times New 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before="0" w:after="200"/>
      <w:rPr>
        <w:rFonts w:ascii="Calibri" w:hAnsi="Calibri" w:eastAsia="Calibri" w:cs="Times New Roman"/>
        <w:color w:val="00000A"/>
        <w:sz w:val="2"/>
        <w:szCs w:val="2"/>
        <w:lang w:val="ru-RU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center"/>
      <w:rPr>
        <w:rFonts w:ascii="Times New Roman" w:hAnsi="Times New Roman" w:eastAsia="Times New Roman"/>
        <w:sz w:val="28"/>
        <w:szCs w:val="24"/>
        <w:lang w:eastAsia="ru-RU"/>
      </w:rPr>
    </w:pPr>
    <w:r>
      <w:t xml:space="preserve"> </w:t>
    </w:r>
  </w:p>
  <w:p>
    <w:pPr>
      <w:pStyle w:val="33"/>
      <w:jc w:val="center"/>
      <w:rPr>
        <w:rFonts w:ascii="Times New Roman" w:hAnsi="Times New Roman" w:eastAsia="Times New Roman" w:cs="Times New Roman"/>
        <w:color w:val="00000A"/>
        <w:sz w:val="28"/>
        <w:szCs w:val="24"/>
        <w:lang w:val="ru-RU" w:eastAsia="ru-RU" w:bidi="ar-SA"/>
      </w:rPr>
    </w:pPr>
  </w:p>
  <w:p>
    <w:pPr>
      <w:pStyle w:val="3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center"/>
    </w:pPr>
    <w:r>
      <w:fldChar w:fldCharType="begin"/>
    </w:r>
    <w:r>
      <w:instrText xml:space="preserve">PAGE</w:instrText>
    </w:r>
    <w:r>
      <w:fldChar w:fldCharType="separate"/>
    </w:r>
    <w:r>
      <w:t>38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BBBA84"/>
    <w:multiLevelType w:val="singleLevel"/>
    <w:tmpl w:val="41BBBA8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926E0"/>
    <w:rsid w:val="3B684034"/>
    <w:rsid w:val="433A40DF"/>
    <w:rsid w:val="48A85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uiPriority w:val="99"/>
    <w:pPr>
      <w:spacing w:before="0" w:after="0" w:line="240" w:lineRule="auto"/>
    </w:pPr>
    <w:rPr>
      <w:rFonts w:ascii="Tahoma" w:hAnsi="Tahoma"/>
      <w:sz w:val="16"/>
      <w:szCs w:val="16"/>
    </w:rPr>
  </w:style>
  <w:style w:type="paragraph" w:styleId="5">
    <w:name w:val="Body Text Indent 3"/>
    <w:basedOn w:val="1"/>
    <w:uiPriority w:val="0"/>
    <w:pPr>
      <w:spacing w:before="0" w:after="120"/>
      <w:ind w:left="283" w:firstLine="0"/>
    </w:pPr>
    <w:rPr>
      <w:sz w:val="16"/>
      <w:szCs w:val="16"/>
    </w:rPr>
  </w:style>
  <w:style w:type="paragraph" w:styleId="6">
    <w:name w:val="caption"/>
    <w:basedOn w:val="1"/>
    <w:next w:val="1"/>
    <w:qFormat/>
    <w:uiPriority w:val="99"/>
    <w:pPr>
      <w:spacing w:before="0" w:after="0" w:line="240" w:lineRule="auto"/>
      <w:jc w:val="center"/>
    </w:pPr>
    <w:rPr>
      <w:rFonts w:ascii="Times New Roman" w:hAnsi="Times New Roman" w:eastAsia="Times New Roman"/>
      <w:b/>
      <w:bCs/>
      <w:spacing w:val="60"/>
      <w:sz w:val="32"/>
      <w:szCs w:val="32"/>
      <w:lang w:eastAsia="ru-RU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9">
    <w:name w:val="Нижний колонтитул Знак"/>
    <w:basedOn w:val="2"/>
    <w:qFormat/>
    <w:uiPriority w:val="99"/>
  </w:style>
  <w:style w:type="character" w:customStyle="1" w:styleId="10">
    <w:name w:val="Текст выноски Знак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Название Знак"/>
    <w:locked/>
    <w:uiPriority w:val="0"/>
    <w:rPr>
      <w:rFonts w:ascii="Times New Roman" w:hAnsi="Times New Roman" w:eastAsia="Times New Roman" w:cs="Times New Roman"/>
      <w:b/>
      <w:sz w:val="24"/>
    </w:rPr>
  </w:style>
  <w:style w:type="character" w:customStyle="1" w:styleId="12">
    <w:name w:val="Название Знак1"/>
    <w:qFormat/>
    <w:uiPriority w:val="10"/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customStyle="1" w:styleId="13">
    <w:name w:val="ConsPlusNormal Знак"/>
    <w:link w:val="14"/>
    <w:qFormat/>
    <w:locked/>
    <w:uiPriority w:val="0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customStyle="1" w:styleId="14">
    <w:name w:val="ConsPlusNormal"/>
    <w:link w:val="13"/>
    <w:uiPriority w:val="0"/>
    <w:pPr>
      <w:widowControl w:val="0"/>
      <w:suppressAutoHyphens/>
      <w:bidi w:val="0"/>
      <w:ind w:firstLine="720"/>
      <w:jc w:val="left"/>
    </w:pPr>
    <w:rPr>
      <w:rFonts w:ascii="Arial" w:hAnsi="Arial" w:eastAsia="Times New Roman" w:cs="Arial"/>
      <w:color w:val="00000A"/>
      <w:sz w:val="22"/>
      <w:szCs w:val="22"/>
      <w:lang w:val="ru-RU" w:eastAsia="en-US" w:bidi="ar-SA"/>
    </w:rPr>
  </w:style>
  <w:style w:type="character" w:customStyle="1" w:styleId="15">
    <w:name w:val="Основной текст (4)_"/>
    <w:link w:val="16"/>
    <w:qFormat/>
    <w:uiPriority w:val="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paragraph" w:customStyle="1" w:styleId="16">
    <w:name w:val="Основной текст (4)"/>
    <w:basedOn w:val="1"/>
    <w:link w:val="15"/>
    <w:qFormat/>
    <w:uiPriority w:val="0"/>
    <w:pPr>
      <w:widowControl w:val="0"/>
      <w:shd w:val="clear" w:fill="FFFFFF"/>
      <w:spacing w:before="0" w:after="0" w:line="322" w:lineRule="exact"/>
      <w:jc w:val="center"/>
    </w:pPr>
    <w:rPr>
      <w:rFonts w:ascii="Times New Roman" w:hAnsi="Times New Roman" w:eastAsia="Times New Roman"/>
      <w:b/>
      <w:bCs/>
      <w:sz w:val="26"/>
      <w:szCs w:val="26"/>
    </w:rPr>
  </w:style>
  <w:style w:type="character" w:customStyle="1" w:styleId="17">
    <w:name w:val="Заголовок Знак"/>
    <w:qFormat/>
    <w:locked/>
    <w:uiPriority w:val="0"/>
    <w:rPr>
      <w:rFonts w:eastAsia="Calibri"/>
      <w:b/>
      <w:sz w:val="28"/>
      <w:lang w:val="ru-RU" w:eastAsia="ru-RU" w:bidi="ar-SA"/>
    </w:rPr>
  </w:style>
  <w:style w:type="character" w:customStyle="1" w:styleId="18">
    <w:name w:val="ListLabel 1"/>
    <w:qFormat/>
    <w:uiPriority w:val="0"/>
    <w:rPr>
      <w:rFonts w:eastAsia="Times New Roman" w:cs="Times New Roman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9">
    <w:name w:val="ListLabel 2"/>
    <w:qFormat/>
    <w:uiPriority w:val="0"/>
    <w:rPr>
      <w:rFonts w:cs="Arial"/>
    </w:rPr>
  </w:style>
  <w:style w:type="character" w:customStyle="1" w:styleId="20">
    <w:name w:val="ListLabel 3"/>
    <w:qFormat/>
    <w:uiPriority w:val="0"/>
  </w:style>
  <w:style w:type="character" w:customStyle="1" w:styleId="21">
    <w:name w:val="ListLabel 4"/>
    <w:qFormat/>
    <w:uiPriority w:val="0"/>
    <w:rPr>
      <w:rFonts w:cs="Times New Roman"/>
    </w:rPr>
  </w:style>
  <w:style w:type="character" w:customStyle="1" w:styleId="22">
    <w:name w:val="ListLabel 5"/>
    <w:qFormat/>
    <w:uiPriority w:val="0"/>
    <w:rPr>
      <w:rFonts w:cs="Times New Roman"/>
    </w:rPr>
  </w:style>
  <w:style w:type="character" w:customStyle="1" w:styleId="23">
    <w:name w:val="ListLabel 6"/>
    <w:qFormat/>
    <w:uiPriority w:val="0"/>
  </w:style>
  <w:style w:type="character" w:customStyle="1" w:styleId="24">
    <w:name w:val="ListLabel 7"/>
    <w:qFormat/>
    <w:uiPriority w:val="0"/>
  </w:style>
  <w:style w:type="character" w:customStyle="1" w:styleId="25">
    <w:name w:val="ListLabel 8"/>
    <w:qFormat/>
    <w:uiPriority w:val="0"/>
  </w:style>
  <w:style w:type="character" w:customStyle="1" w:styleId="26">
    <w:name w:val="ListLabel 9"/>
    <w:uiPriority w:val="0"/>
  </w:style>
  <w:style w:type="character" w:customStyle="1" w:styleId="27">
    <w:name w:val="ListLabel 10"/>
    <w:qFormat/>
    <w:uiPriority w:val="0"/>
  </w:style>
  <w:style w:type="paragraph" w:customStyle="1" w:styleId="28">
    <w:name w:val="Заголовок"/>
    <w:basedOn w:val="1"/>
    <w:next w:val="2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9">
    <w:name w:val="Основной текст1"/>
    <w:basedOn w:val="1"/>
    <w:uiPriority w:val="0"/>
    <w:pPr>
      <w:spacing w:before="0" w:after="140" w:line="288" w:lineRule="auto"/>
    </w:pPr>
  </w:style>
  <w:style w:type="paragraph" w:customStyle="1" w:styleId="30">
    <w:name w:val="Список1"/>
    <w:basedOn w:val="29"/>
    <w:qFormat/>
    <w:uiPriority w:val="0"/>
    <w:rPr>
      <w:rFonts w:cs="Mangal"/>
    </w:rPr>
  </w:style>
  <w:style w:type="paragraph" w:customStyle="1" w:styleId="31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33">
    <w:name w:val="Верхний колонтитул1"/>
    <w:basedOn w:val="1"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paragraph" w:customStyle="1" w:styleId="34">
    <w:name w:val="Ниж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35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36">
    <w:name w:val="Заглавие"/>
    <w:basedOn w:val="1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/>
      <w:b/>
      <w:sz w:val="24"/>
      <w:szCs w:val="20"/>
    </w:rPr>
  </w:style>
  <w:style w:type="paragraph" w:customStyle="1" w:styleId="37">
    <w:name w:val="ConsPlusCell"/>
    <w:uiPriority w:val="0"/>
    <w:pPr>
      <w:widowControl/>
      <w:suppressAutoHyphens/>
      <w:bidi w:val="0"/>
      <w:jc w:val="left"/>
    </w:pPr>
    <w:rPr>
      <w:rFonts w:ascii="Arial" w:hAnsi="Arial" w:eastAsia="Calibri" w:cs="Arial"/>
      <w:color w:val="00000A"/>
      <w:sz w:val="22"/>
      <w:szCs w:val="20"/>
      <w:lang w:val="ru-RU" w:eastAsia="ru-RU" w:bidi="ar-SA"/>
    </w:rPr>
  </w:style>
  <w:style w:type="paragraph" w:customStyle="1" w:styleId="38">
    <w:name w:val="2"/>
    <w:basedOn w:val="1"/>
    <w:qFormat/>
    <w:uiPriority w:val="0"/>
    <w:pPr>
      <w:spacing w:before="0" w:after="0" w:line="240" w:lineRule="auto"/>
      <w:jc w:val="center"/>
    </w:pPr>
    <w:rPr>
      <w:b/>
      <w:sz w:val="28"/>
      <w:szCs w:val="20"/>
      <w:lang w:eastAsia="ru-RU"/>
    </w:rPr>
  </w:style>
  <w:style w:type="paragraph" w:customStyle="1" w:styleId="39">
    <w:name w:val="1"/>
    <w:basedOn w:val="1"/>
    <w:qFormat/>
    <w:uiPriority w:val="0"/>
    <w:pPr>
      <w:spacing w:before="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40">
    <w:name w:val="Абзац списка1"/>
    <w:basedOn w:val="1"/>
    <w:qFormat/>
    <w:uiPriority w:val="0"/>
    <w:pPr>
      <w:spacing w:before="0" w:after="200"/>
      <w:ind w:left="720" w:firstLine="0"/>
      <w:contextualSpacing/>
    </w:pPr>
    <w:rPr>
      <w:rFonts w:eastAsia="Times New Roman"/>
    </w:rPr>
  </w:style>
  <w:style w:type="paragraph" w:customStyle="1" w:styleId="41">
    <w:name w:val="Основной текст с отступом 31"/>
    <w:basedOn w:val="1"/>
    <w:uiPriority w:val="0"/>
    <w:pPr>
      <w:suppressAutoHyphens/>
      <w:spacing w:before="0" w:after="0" w:line="240" w:lineRule="auto"/>
      <w:ind w:left="6096" w:firstLine="0"/>
    </w:pPr>
    <w:rPr>
      <w:rFonts w:ascii="Times New Roman" w:hAnsi="Times New Roman" w:eastAsia="Times New Roman"/>
      <w:sz w:val="28"/>
      <w:szCs w:val="20"/>
    </w:rPr>
  </w:style>
  <w:style w:type="paragraph" w:customStyle="1" w:styleId="42">
    <w:name w:val="Содержимое таблицы"/>
    <w:basedOn w:val="1"/>
    <w:qFormat/>
    <w:uiPriority w:val="0"/>
  </w:style>
  <w:style w:type="paragraph" w:customStyle="1" w:styleId="43">
    <w:name w:val="Заголовок таблицы"/>
    <w:basedOn w:val="42"/>
    <w:uiPriority w:val="0"/>
  </w:style>
  <w:style w:type="table" w:customStyle="1" w:styleId="44">
    <w:name w:val="Сетка таблицы1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numbering" Target="numbering.xml"/><Relationship Id="rId32" Type="http://schemas.openxmlformats.org/officeDocument/2006/relationships/image" Target="media/image22.jpeg"/><Relationship Id="rId31" Type="http://schemas.openxmlformats.org/officeDocument/2006/relationships/image" Target="media/image21.jpeg"/><Relationship Id="rId30" Type="http://schemas.openxmlformats.org/officeDocument/2006/relationships/image" Target="media/image20.jpeg"/><Relationship Id="rId3" Type="http://schemas.openxmlformats.org/officeDocument/2006/relationships/footnotes" Target="footnotes.xml"/><Relationship Id="rId29" Type="http://schemas.openxmlformats.org/officeDocument/2006/relationships/image" Target="media/image19.jpeg"/><Relationship Id="rId28" Type="http://schemas.openxmlformats.org/officeDocument/2006/relationships/image" Target="media/image18.jpeg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image" Target="media/image13.jpeg"/><Relationship Id="rId22" Type="http://schemas.openxmlformats.org/officeDocument/2006/relationships/image" Target="media/image12.jpeg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37E0-619E-4E83-99B0-514B81319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ragraphs>762</Paragraphs>
  <TotalTime>1537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2021-09-07T08:40:00Z</dcterms:created>
  <dc:creator>user</dc:creator>
  <cp:lastModifiedBy>Андрей Заходяки�</cp:lastModifiedBy>
  <cp:lastPrinted>2022-05-04T05:44:00Z</cp:lastPrinted>
  <dcterms:modified xsi:type="dcterms:W3CDTF">2022-11-02T13:49:13Z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C5F5F97CE3014311A41B5121CB9F48D6</vt:lpwstr>
  </property>
</Properties>
</file>